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571" w:rsidRPr="00DB44DC" w:rsidRDefault="002158F8" w:rsidP="00126BC8">
      <w:pPr>
        <w:jc w:val="both"/>
      </w:pPr>
      <w:r w:rsidRPr="002158F8">
        <w:rPr>
          <w:noProof/>
          <w:lang w:val="en-US"/>
        </w:rPr>
        <w:pict>
          <v:shapetype id="_x0000_t202" coordsize="21600,21600" o:spt="202" path="m,l,21600r21600,l21600,xe">
            <v:stroke joinstyle="miter"/>
            <v:path gradientshapeok="t" o:connecttype="rect"/>
          </v:shapetype>
          <v:shape id="_x0000_s1027" type="#_x0000_t202" style="position:absolute;left:0;text-align:left;margin-left:-13.95pt;margin-top:15.9pt;width:491.4pt;height:295.05pt;z-index:251653632" filled="f" stroked="f">
            <v:textbox style="mso-next-textbox:#_x0000_s1027">
              <w:txbxContent>
                <w:p w:rsidR="00BA1A5C" w:rsidRDefault="00BA1A5C" w:rsidP="00D067AE">
                  <w:pPr>
                    <w:pStyle w:val="text"/>
                    <w:tabs>
                      <w:tab w:val="clear" w:pos="4320"/>
                      <w:tab w:val="clear" w:pos="8640"/>
                      <w:tab w:val="center" w:pos="13875"/>
                      <w:tab w:val="right" w:pos="27750"/>
                    </w:tabs>
                    <w:spacing w:before="0"/>
                    <w:rPr>
                      <w:rFonts w:ascii="Arial" w:hAnsi="Arial" w:cs="Arial"/>
                      <w:color w:val="FFFFFF"/>
                      <w:sz w:val="103"/>
                      <w:szCs w:val="103"/>
                    </w:rPr>
                  </w:pPr>
                  <w:r>
                    <w:rPr>
                      <w:rFonts w:ascii="Arial" w:hAnsi="Arial" w:cs="Arial"/>
                      <w:color w:val="FFFFFF"/>
                      <w:sz w:val="103"/>
                      <w:szCs w:val="103"/>
                    </w:rPr>
                    <w:t xml:space="preserve">Glenorchy to Hobart CBD Transit Corridor </w:t>
                  </w:r>
                </w:p>
                <w:p w:rsidR="00BA1A5C" w:rsidRPr="000A0284" w:rsidRDefault="00BA1A5C" w:rsidP="00D067AE">
                  <w:pPr>
                    <w:pStyle w:val="text"/>
                    <w:tabs>
                      <w:tab w:val="clear" w:pos="4320"/>
                      <w:tab w:val="clear" w:pos="8640"/>
                      <w:tab w:val="center" w:pos="13875"/>
                      <w:tab w:val="right" w:pos="27750"/>
                    </w:tabs>
                    <w:spacing w:before="0"/>
                    <w:rPr>
                      <w:rFonts w:ascii="Arial" w:hAnsi="Arial" w:cs="Arial"/>
                      <w:color w:val="FFFFFF"/>
                      <w:sz w:val="40"/>
                      <w:szCs w:val="40"/>
                    </w:rPr>
                  </w:pPr>
                  <w:r>
                    <w:rPr>
                      <w:rFonts w:ascii="Arial" w:hAnsi="Arial" w:cs="Arial"/>
                      <w:color w:val="FFFFFF"/>
                      <w:sz w:val="40"/>
                      <w:szCs w:val="40"/>
                    </w:rPr>
                    <w:t>Transit Corridor Assessment Report – Stage one</w:t>
                  </w:r>
                </w:p>
                <w:p w:rsidR="00BA1A5C" w:rsidRDefault="00BA1A5C" w:rsidP="00CF7106">
                  <w:pPr>
                    <w:pStyle w:val="text"/>
                    <w:tabs>
                      <w:tab w:val="clear" w:pos="4320"/>
                      <w:tab w:val="clear" w:pos="8640"/>
                      <w:tab w:val="center" w:pos="13875"/>
                      <w:tab w:val="right" w:pos="27750"/>
                    </w:tabs>
                    <w:spacing w:before="0"/>
                    <w:rPr>
                      <w:rFonts w:ascii="Arial" w:hAnsi="Arial" w:cs="Arial"/>
                      <w:color w:val="FFFFFF"/>
                      <w:sz w:val="51"/>
                      <w:szCs w:val="51"/>
                    </w:rPr>
                  </w:pPr>
                </w:p>
                <w:p w:rsidR="00BA1A5C" w:rsidRPr="00A9611B" w:rsidRDefault="00BA1A5C" w:rsidP="00CF7106">
                  <w:pPr>
                    <w:pStyle w:val="text"/>
                    <w:tabs>
                      <w:tab w:val="clear" w:pos="4320"/>
                      <w:tab w:val="clear" w:pos="8640"/>
                      <w:tab w:val="center" w:pos="13875"/>
                      <w:tab w:val="right" w:pos="27750"/>
                    </w:tabs>
                    <w:spacing w:before="0"/>
                    <w:rPr>
                      <w:rFonts w:ascii="Arial" w:hAnsi="Arial" w:cs="Arial"/>
                      <w:color w:val="FFFFFF"/>
                      <w:sz w:val="51"/>
                      <w:szCs w:val="51"/>
                    </w:rPr>
                  </w:pPr>
                  <w:r>
                    <w:rPr>
                      <w:rFonts w:ascii="Arial" w:hAnsi="Arial" w:cs="Arial"/>
                      <w:color w:val="FFFFFF"/>
                      <w:sz w:val="51"/>
                      <w:szCs w:val="51"/>
                    </w:rPr>
                    <w:t>Land use planning</w:t>
                  </w:r>
                </w:p>
                <w:p w:rsidR="00BA1A5C" w:rsidRPr="00A9611B" w:rsidRDefault="00BA1A5C" w:rsidP="00D067AE">
                  <w:pPr>
                    <w:pStyle w:val="text"/>
                    <w:tabs>
                      <w:tab w:val="clear" w:pos="4320"/>
                      <w:tab w:val="clear" w:pos="8640"/>
                      <w:tab w:val="center" w:pos="13875"/>
                      <w:tab w:val="right" w:pos="27750"/>
                    </w:tabs>
                    <w:spacing w:before="0"/>
                    <w:rPr>
                      <w:rFonts w:ascii="Arial" w:hAnsi="Arial" w:cs="Arial"/>
                      <w:color w:val="FFFFFF"/>
                      <w:sz w:val="103"/>
                      <w:szCs w:val="103"/>
                    </w:rPr>
                  </w:pPr>
                </w:p>
                <w:p w:rsidR="00BA1A5C" w:rsidRPr="00A9611B" w:rsidRDefault="00BA1A5C" w:rsidP="00D067AE">
                  <w:pPr>
                    <w:pStyle w:val="text"/>
                    <w:tabs>
                      <w:tab w:val="clear" w:pos="4320"/>
                      <w:tab w:val="clear" w:pos="8640"/>
                      <w:tab w:val="center" w:pos="13875"/>
                      <w:tab w:val="right" w:pos="27750"/>
                    </w:tabs>
                    <w:spacing w:before="0"/>
                    <w:rPr>
                      <w:rFonts w:ascii="Arial" w:hAnsi="Arial" w:cs="Arial"/>
                      <w:color w:val="FFFFFF"/>
                      <w:sz w:val="51"/>
                      <w:szCs w:val="51"/>
                    </w:rPr>
                  </w:pPr>
                </w:p>
                <w:p w:rsidR="00BA1A5C" w:rsidRPr="00A9611B" w:rsidRDefault="00BA1A5C" w:rsidP="00D067AE">
                  <w:pPr>
                    <w:pStyle w:val="text"/>
                    <w:tabs>
                      <w:tab w:val="clear" w:pos="4320"/>
                      <w:tab w:val="clear" w:pos="8640"/>
                      <w:tab w:val="center" w:pos="13875"/>
                      <w:tab w:val="right" w:pos="27750"/>
                    </w:tabs>
                    <w:spacing w:before="0"/>
                    <w:rPr>
                      <w:rFonts w:ascii="Arial" w:hAnsi="Arial" w:cs="Arial"/>
                      <w:color w:val="FFFFFF"/>
                      <w:sz w:val="51"/>
                      <w:szCs w:val="51"/>
                    </w:rPr>
                  </w:pPr>
                  <w:r>
                    <w:rPr>
                      <w:rFonts w:ascii="Arial" w:hAnsi="Arial" w:cs="Arial"/>
                      <w:color w:val="FFFFFF"/>
                      <w:sz w:val="51"/>
                      <w:szCs w:val="51"/>
                    </w:rPr>
                    <w:t>Summary report</w:t>
                  </w:r>
                </w:p>
              </w:txbxContent>
            </v:textbox>
          </v:shape>
        </w:pict>
      </w:r>
      <w:r w:rsidRPr="002158F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3fp6" style="position:absolute;left:0;text-align:left;margin-left:-9.35pt;margin-top:-11.55pt;width:604.4pt;height:853.15pt;z-index:-251657728;visibility:visible;mso-position-horizontal-relative:page;mso-position-vertical-relative:page">
            <v:imagedata r:id="rId8" o:title=""/>
            <w10:wrap anchorx="page" anchory="page"/>
          </v:shape>
        </w:pict>
      </w:r>
    </w:p>
    <w:p w:rsidR="00B42571" w:rsidRPr="00DB44DC" w:rsidRDefault="00B42571" w:rsidP="00126BC8">
      <w:pPr>
        <w:jc w:val="both"/>
      </w:pPr>
    </w:p>
    <w:p w:rsidR="00B42571" w:rsidRPr="00DB44DC" w:rsidRDefault="002158F8" w:rsidP="00126BC8">
      <w:pPr>
        <w:jc w:val="both"/>
      </w:pPr>
      <w:r w:rsidRPr="002158F8">
        <w:rPr>
          <w:noProof/>
          <w:lang w:val="en-US"/>
        </w:rPr>
        <w:pict>
          <v:shape id="_x0000_s1029" type="#_x0000_t202" style="position:absolute;left:0;text-align:left;margin-left:-10.2pt;margin-top:478.65pt;width:180.5pt;height:139.55pt;z-index:251657728" filled="f" stroked="f">
            <v:textbox style="mso-fit-shape-to-text:t">
              <w:txbxContent>
                <w:p w:rsidR="00BA1A5C" w:rsidRPr="00E069A3" w:rsidRDefault="00A0670F">
                  <w:pPr>
                    <w:rPr>
                      <w:b/>
                      <w:bCs/>
                      <w:color w:val="FFFFFF"/>
                      <w:sz w:val="32"/>
                      <w:szCs w:val="32"/>
                    </w:rPr>
                  </w:pPr>
                  <w:r>
                    <w:rPr>
                      <w:b/>
                      <w:bCs/>
                      <w:color w:val="FFFFFF"/>
                      <w:sz w:val="32"/>
                      <w:szCs w:val="32"/>
                    </w:rPr>
                    <w:t>July</w:t>
                  </w:r>
                  <w:r w:rsidR="00BA1A5C" w:rsidRPr="00E069A3">
                    <w:rPr>
                      <w:b/>
                      <w:bCs/>
                      <w:color w:val="FFFFFF"/>
                      <w:sz w:val="32"/>
                      <w:szCs w:val="32"/>
                    </w:rPr>
                    <w:t xml:space="preserve"> 2012</w:t>
                  </w:r>
                </w:p>
              </w:txbxContent>
            </v:textbox>
          </v:shape>
        </w:pict>
      </w:r>
      <w:r w:rsidRPr="002158F8">
        <w:rPr>
          <w:noProof/>
          <w:lang w:val="en-US"/>
        </w:rPr>
        <w:pict>
          <v:shape id="_x0000_s1030" type="#_x0000_t202" style="position:absolute;left:0;text-align:left;margin-left:-58.95pt;margin-top:652.65pt;width:297pt;height:51.45pt;z-index:251654656" filled="f" stroked="f">
            <v:textbox style="mso-next-textbox:#_x0000_s1030">
              <w:txbxContent>
                <w:p w:rsidR="00BA1A5C" w:rsidRDefault="00BA1A5C" w:rsidP="00D067AE">
                  <w:pPr>
                    <w:pStyle w:val="Noparagraphstyle"/>
                    <w:rPr>
                      <w:rFonts w:ascii="GillSans-Light" w:hAnsi="GillSans-Light" w:cs="GillSans-Light"/>
                      <w:spacing w:val="31"/>
                      <w:sz w:val="31"/>
                      <w:szCs w:val="31"/>
                    </w:rPr>
                  </w:pPr>
                  <w:r>
                    <w:rPr>
                      <w:rFonts w:ascii="GillSans-Light" w:hAnsi="GillSans-Light" w:cs="GillSans-Light"/>
                      <w:spacing w:val="31"/>
                      <w:sz w:val="31"/>
                      <w:szCs w:val="31"/>
                    </w:rPr>
                    <w:t>Department of Infrastructure, Energy and Resources</w:t>
                  </w:r>
                </w:p>
              </w:txbxContent>
            </v:textbox>
          </v:shape>
        </w:pict>
      </w:r>
      <w:r w:rsidR="00B42571" w:rsidRPr="00DB44DC">
        <w:br w:type="page"/>
      </w:r>
    </w:p>
    <w:p w:rsidR="00B42571" w:rsidRPr="000D2CE5" w:rsidRDefault="00B42571" w:rsidP="000D2CE5">
      <w:pPr>
        <w:rPr>
          <w:b/>
          <w:bCs/>
          <w:color w:val="4F81BD"/>
          <w:sz w:val="32"/>
          <w:szCs w:val="32"/>
        </w:rPr>
      </w:pPr>
      <w:r w:rsidRPr="000D2CE5">
        <w:rPr>
          <w:b/>
          <w:bCs/>
          <w:color w:val="4F81BD"/>
          <w:sz w:val="32"/>
          <w:szCs w:val="32"/>
        </w:rPr>
        <w:t>CONTENTS</w:t>
      </w:r>
    </w:p>
    <w:p w:rsidR="00B42571" w:rsidRDefault="00B42571">
      <w:pPr>
        <w:pStyle w:val="TOCHeading"/>
        <w:rPr>
          <w:rFonts w:cs="Arial"/>
        </w:rPr>
      </w:pPr>
    </w:p>
    <w:p w:rsidR="0029023D" w:rsidRDefault="002158F8">
      <w:pPr>
        <w:pStyle w:val="TOC1"/>
        <w:tabs>
          <w:tab w:val="left" w:pos="440"/>
          <w:tab w:val="right" w:leader="dot" w:pos="9016"/>
        </w:tabs>
        <w:rPr>
          <w:rFonts w:asciiTheme="minorHAnsi" w:eastAsiaTheme="minorEastAsia" w:hAnsiTheme="minorHAnsi" w:cstheme="minorBidi"/>
          <w:noProof/>
          <w:lang w:eastAsia="en-AU"/>
        </w:rPr>
      </w:pPr>
      <w:r>
        <w:fldChar w:fldCharType="begin"/>
      </w:r>
      <w:r w:rsidR="00B42571">
        <w:instrText xml:space="preserve"> TOC \o "1-3" \h \z \u </w:instrText>
      </w:r>
      <w:r>
        <w:fldChar w:fldCharType="separate"/>
      </w:r>
      <w:hyperlink w:anchor="_Toc326919235" w:history="1">
        <w:r w:rsidR="0029023D" w:rsidRPr="006D70E5">
          <w:rPr>
            <w:rStyle w:val="Hyperlink"/>
            <w:noProof/>
          </w:rPr>
          <w:t>1</w:t>
        </w:r>
        <w:r w:rsidR="0029023D">
          <w:rPr>
            <w:rFonts w:asciiTheme="minorHAnsi" w:eastAsiaTheme="minorEastAsia" w:hAnsiTheme="minorHAnsi" w:cstheme="minorBidi"/>
            <w:noProof/>
            <w:lang w:eastAsia="en-AU"/>
          </w:rPr>
          <w:tab/>
        </w:r>
        <w:r w:rsidR="0029023D" w:rsidRPr="006D70E5">
          <w:rPr>
            <w:rStyle w:val="Hyperlink"/>
            <w:noProof/>
          </w:rPr>
          <w:t>Key points</w:t>
        </w:r>
        <w:r w:rsidR="0029023D">
          <w:rPr>
            <w:noProof/>
            <w:webHidden/>
          </w:rPr>
          <w:tab/>
        </w:r>
        <w:r>
          <w:rPr>
            <w:noProof/>
            <w:webHidden/>
          </w:rPr>
          <w:fldChar w:fldCharType="begin"/>
        </w:r>
        <w:r w:rsidR="0029023D">
          <w:rPr>
            <w:noProof/>
            <w:webHidden/>
          </w:rPr>
          <w:instrText xml:space="preserve"> PAGEREF _Toc326919235 \h </w:instrText>
        </w:r>
        <w:r>
          <w:rPr>
            <w:noProof/>
            <w:webHidden/>
          </w:rPr>
        </w:r>
        <w:r>
          <w:rPr>
            <w:noProof/>
            <w:webHidden/>
          </w:rPr>
          <w:fldChar w:fldCharType="separate"/>
        </w:r>
        <w:r w:rsidR="00214FC0">
          <w:rPr>
            <w:noProof/>
            <w:webHidden/>
          </w:rPr>
          <w:t>3</w:t>
        </w:r>
        <w:r>
          <w:rPr>
            <w:noProof/>
            <w:webHidden/>
          </w:rPr>
          <w:fldChar w:fldCharType="end"/>
        </w:r>
      </w:hyperlink>
    </w:p>
    <w:p w:rsidR="0029023D" w:rsidRDefault="002158F8">
      <w:pPr>
        <w:pStyle w:val="TOC1"/>
        <w:tabs>
          <w:tab w:val="left" w:pos="440"/>
          <w:tab w:val="right" w:leader="dot" w:pos="9016"/>
        </w:tabs>
        <w:rPr>
          <w:rFonts w:asciiTheme="minorHAnsi" w:eastAsiaTheme="minorEastAsia" w:hAnsiTheme="minorHAnsi" w:cstheme="minorBidi"/>
          <w:noProof/>
          <w:lang w:eastAsia="en-AU"/>
        </w:rPr>
      </w:pPr>
      <w:hyperlink w:anchor="_Toc326919236" w:history="1">
        <w:r w:rsidR="0029023D" w:rsidRPr="006D70E5">
          <w:rPr>
            <w:rStyle w:val="Hyperlink"/>
            <w:noProof/>
          </w:rPr>
          <w:t>2</w:t>
        </w:r>
        <w:r w:rsidR="0029023D">
          <w:rPr>
            <w:rFonts w:asciiTheme="minorHAnsi" w:eastAsiaTheme="minorEastAsia" w:hAnsiTheme="minorHAnsi" w:cstheme="minorBidi"/>
            <w:noProof/>
            <w:lang w:eastAsia="en-AU"/>
          </w:rPr>
          <w:tab/>
        </w:r>
        <w:r w:rsidR="0029023D" w:rsidRPr="006D70E5">
          <w:rPr>
            <w:rStyle w:val="Hyperlink"/>
            <w:noProof/>
          </w:rPr>
          <w:t>Transport and land use planning</w:t>
        </w:r>
        <w:r w:rsidR="0029023D">
          <w:rPr>
            <w:noProof/>
            <w:webHidden/>
          </w:rPr>
          <w:tab/>
        </w:r>
        <w:r>
          <w:rPr>
            <w:noProof/>
            <w:webHidden/>
          </w:rPr>
          <w:fldChar w:fldCharType="begin"/>
        </w:r>
        <w:r w:rsidR="0029023D">
          <w:rPr>
            <w:noProof/>
            <w:webHidden/>
          </w:rPr>
          <w:instrText xml:space="preserve"> PAGEREF _Toc326919236 \h </w:instrText>
        </w:r>
        <w:r>
          <w:rPr>
            <w:noProof/>
            <w:webHidden/>
          </w:rPr>
        </w:r>
        <w:r>
          <w:rPr>
            <w:noProof/>
            <w:webHidden/>
          </w:rPr>
          <w:fldChar w:fldCharType="separate"/>
        </w:r>
        <w:r w:rsidR="00214FC0">
          <w:rPr>
            <w:noProof/>
            <w:webHidden/>
          </w:rPr>
          <w:t>4</w:t>
        </w:r>
        <w:r>
          <w:rPr>
            <w:noProof/>
            <w:webHidden/>
          </w:rPr>
          <w:fldChar w:fldCharType="end"/>
        </w:r>
      </w:hyperlink>
    </w:p>
    <w:p w:rsidR="0029023D" w:rsidRDefault="002158F8">
      <w:pPr>
        <w:pStyle w:val="TOC1"/>
        <w:tabs>
          <w:tab w:val="left" w:pos="440"/>
          <w:tab w:val="right" w:leader="dot" w:pos="9016"/>
        </w:tabs>
        <w:rPr>
          <w:rFonts w:asciiTheme="minorHAnsi" w:eastAsiaTheme="minorEastAsia" w:hAnsiTheme="minorHAnsi" w:cstheme="minorBidi"/>
          <w:noProof/>
          <w:lang w:eastAsia="en-AU"/>
        </w:rPr>
      </w:pPr>
      <w:hyperlink w:anchor="_Toc326919237" w:history="1">
        <w:r w:rsidR="0029023D" w:rsidRPr="006D70E5">
          <w:rPr>
            <w:rStyle w:val="Hyperlink"/>
            <w:noProof/>
          </w:rPr>
          <w:t>3</w:t>
        </w:r>
        <w:r w:rsidR="0029023D">
          <w:rPr>
            <w:rFonts w:asciiTheme="minorHAnsi" w:eastAsiaTheme="minorEastAsia" w:hAnsiTheme="minorHAnsi" w:cstheme="minorBidi"/>
            <w:noProof/>
            <w:lang w:eastAsia="en-AU"/>
          </w:rPr>
          <w:tab/>
        </w:r>
        <w:r w:rsidR="0029023D" w:rsidRPr="006D70E5">
          <w:rPr>
            <w:rStyle w:val="Hyperlink"/>
            <w:noProof/>
          </w:rPr>
          <w:t>Development patterns</w:t>
        </w:r>
        <w:r w:rsidR="0029023D">
          <w:rPr>
            <w:noProof/>
            <w:webHidden/>
          </w:rPr>
          <w:tab/>
        </w:r>
        <w:r>
          <w:rPr>
            <w:noProof/>
            <w:webHidden/>
          </w:rPr>
          <w:fldChar w:fldCharType="begin"/>
        </w:r>
        <w:r w:rsidR="0029023D">
          <w:rPr>
            <w:noProof/>
            <w:webHidden/>
          </w:rPr>
          <w:instrText xml:space="preserve"> PAGEREF _Toc326919237 \h </w:instrText>
        </w:r>
        <w:r>
          <w:rPr>
            <w:noProof/>
            <w:webHidden/>
          </w:rPr>
        </w:r>
        <w:r>
          <w:rPr>
            <w:noProof/>
            <w:webHidden/>
          </w:rPr>
          <w:fldChar w:fldCharType="separate"/>
        </w:r>
        <w:r w:rsidR="00214FC0">
          <w:rPr>
            <w:noProof/>
            <w:webHidden/>
          </w:rPr>
          <w:t>4</w:t>
        </w:r>
        <w:r>
          <w:rPr>
            <w:noProof/>
            <w:webHidden/>
          </w:rPr>
          <w:fldChar w:fldCharType="end"/>
        </w:r>
      </w:hyperlink>
    </w:p>
    <w:p w:rsidR="0029023D" w:rsidRDefault="002158F8">
      <w:pPr>
        <w:pStyle w:val="TOC2"/>
        <w:tabs>
          <w:tab w:val="left" w:pos="880"/>
          <w:tab w:val="right" w:leader="dot" w:pos="9016"/>
        </w:tabs>
        <w:rPr>
          <w:rFonts w:asciiTheme="minorHAnsi" w:eastAsiaTheme="minorEastAsia" w:hAnsiTheme="minorHAnsi" w:cstheme="minorBidi"/>
          <w:noProof/>
          <w:lang w:eastAsia="en-AU"/>
        </w:rPr>
      </w:pPr>
      <w:hyperlink w:anchor="_Toc326919238" w:history="1">
        <w:r w:rsidR="0029023D" w:rsidRPr="006D70E5">
          <w:rPr>
            <w:rStyle w:val="Hyperlink"/>
            <w:noProof/>
          </w:rPr>
          <w:t>3.1</w:t>
        </w:r>
        <w:r w:rsidR="0029023D">
          <w:rPr>
            <w:rFonts w:asciiTheme="minorHAnsi" w:eastAsiaTheme="minorEastAsia" w:hAnsiTheme="minorHAnsi" w:cstheme="minorBidi"/>
            <w:noProof/>
            <w:lang w:eastAsia="en-AU"/>
          </w:rPr>
          <w:tab/>
        </w:r>
        <w:r w:rsidR="0029023D" w:rsidRPr="006D70E5">
          <w:rPr>
            <w:rStyle w:val="Hyperlink"/>
            <w:noProof/>
          </w:rPr>
          <w:t>Separation of land uses</w:t>
        </w:r>
        <w:r w:rsidR="0029023D">
          <w:rPr>
            <w:noProof/>
            <w:webHidden/>
          </w:rPr>
          <w:tab/>
        </w:r>
        <w:r>
          <w:rPr>
            <w:noProof/>
            <w:webHidden/>
          </w:rPr>
          <w:fldChar w:fldCharType="begin"/>
        </w:r>
        <w:r w:rsidR="0029023D">
          <w:rPr>
            <w:noProof/>
            <w:webHidden/>
          </w:rPr>
          <w:instrText xml:space="preserve"> PAGEREF _Toc326919238 \h </w:instrText>
        </w:r>
        <w:r>
          <w:rPr>
            <w:noProof/>
            <w:webHidden/>
          </w:rPr>
        </w:r>
        <w:r>
          <w:rPr>
            <w:noProof/>
            <w:webHidden/>
          </w:rPr>
          <w:fldChar w:fldCharType="separate"/>
        </w:r>
        <w:r w:rsidR="00214FC0">
          <w:rPr>
            <w:noProof/>
            <w:webHidden/>
          </w:rPr>
          <w:t>5</w:t>
        </w:r>
        <w:r>
          <w:rPr>
            <w:noProof/>
            <w:webHidden/>
          </w:rPr>
          <w:fldChar w:fldCharType="end"/>
        </w:r>
      </w:hyperlink>
    </w:p>
    <w:p w:rsidR="0029023D" w:rsidRDefault="002158F8">
      <w:pPr>
        <w:pStyle w:val="TOC1"/>
        <w:tabs>
          <w:tab w:val="left" w:pos="440"/>
          <w:tab w:val="right" w:leader="dot" w:pos="9016"/>
        </w:tabs>
        <w:rPr>
          <w:rFonts w:asciiTheme="minorHAnsi" w:eastAsiaTheme="minorEastAsia" w:hAnsiTheme="minorHAnsi" w:cstheme="minorBidi"/>
          <w:noProof/>
          <w:lang w:eastAsia="en-AU"/>
        </w:rPr>
      </w:pPr>
      <w:hyperlink w:anchor="_Toc326919239" w:history="1">
        <w:r w:rsidR="0029023D" w:rsidRPr="006D70E5">
          <w:rPr>
            <w:rStyle w:val="Hyperlink"/>
            <w:noProof/>
          </w:rPr>
          <w:t>4</w:t>
        </w:r>
        <w:r w:rsidR="0029023D">
          <w:rPr>
            <w:rFonts w:asciiTheme="minorHAnsi" w:eastAsiaTheme="minorEastAsia" w:hAnsiTheme="minorHAnsi" w:cstheme="minorBidi"/>
            <w:noProof/>
            <w:lang w:eastAsia="en-AU"/>
          </w:rPr>
          <w:tab/>
        </w:r>
        <w:r w:rsidR="0029023D" w:rsidRPr="006D70E5">
          <w:rPr>
            <w:rStyle w:val="Hyperlink"/>
            <w:noProof/>
          </w:rPr>
          <w:t>Land use along the Transit Corridor</w:t>
        </w:r>
        <w:r w:rsidR="0029023D">
          <w:rPr>
            <w:noProof/>
            <w:webHidden/>
          </w:rPr>
          <w:tab/>
        </w:r>
        <w:r>
          <w:rPr>
            <w:noProof/>
            <w:webHidden/>
          </w:rPr>
          <w:fldChar w:fldCharType="begin"/>
        </w:r>
        <w:r w:rsidR="0029023D">
          <w:rPr>
            <w:noProof/>
            <w:webHidden/>
          </w:rPr>
          <w:instrText xml:space="preserve"> PAGEREF _Toc326919239 \h </w:instrText>
        </w:r>
        <w:r>
          <w:rPr>
            <w:noProof/>
            <w:webHidden/>
          </w:rPr>
        </w:r>
        <w:r>
          <w:rPr>
            <w:noProof/>
            <w:webHidden/>
          </w:rPr>
          <w:fldChar w:fldCharType="separate"/>
        </w:r>
        <w:r w:rsidR="00214FC0">
          <w:rPr>
            <w:noProof/>
            <w:webHidden/>
          </w:rPr>
          <w:t>5</w:t>
        </w:r>
        <w:r>
          <w:rPr>
            <w:noProof/>
            <w:webHidden/>
          </w:rPr>
          <w:fldChar w:fldCharType="end"/>
        </w:r>
      </w:hyperlink>
    </w:p>
    <w:p w:rsidR="0029023D" w:rsidRDefault="002158F8">
      <w:pPr>
        <w:pStyle w:val="TOC2"/>
        <w:tabs>
          <w:tab w:val="left" w:pos="880"/>
          <w:tab w:val="right" w:leader="dot" w:pos="9016"/>
        </w:tabs>
        <w:rPr>
          <w:rFonts w:asciiTheme="minorHAnsi" w:eastAsiaTheme="minorEastAsia" w:hAnsiTheme="minorHAnsi" w:cstheme="minorBidi"/>
          <w:noProof/>
          <w:lang w:eastAsia="en-AU"/>
        </w:rPr>
      </w:pPr>
      <w:hyperlink w:anchor="_Toc326919240" w:history="1">
        <w:r w:rsidR="0029023D" w:rsidRPr="006D70E5">
          <w:rPr>
            <w:rStyle w:val="Hyperlink"/>
            <w:noProof/>
          </w:rPr>
          <w:t>4.1</w:t>
        </w:r>
        <w:r w:rsidR="0029023D">
          <w:rPr>
            <w:rFonts w:asciiTheme="minorHAnsi" w:eastAsiaTheme="minorEastAsia" w:hAnsiTheme="minorHAnsi" w:cstheme="minorBidi"/>
            <w:noProof/>
            <w:lang w:eastAsia="en-AU"/>
          </w:rPr>
          <w:tab/>
        </w:r>
        <w:r w:rsidR="0029023D" w:rsidRPr="006D70E5">
          <w:rPr>
            <w:rStyle w:val="Hyperlink"/>
            <w:noProof/>
          </w:rPr>
          <w:t>Residential density</w:t>
        </w:r>
        <w:r w:rsidR="0029023D">
          <w:rPr>
            <w:noProof/>
            <w:webHidden/>
          </w:rPr>
          <w:tab/>
        </w:r>
        <w:r>
          <w:rPr>
            <w:noProof/>
            <w:webHidden/>
          </w:rPr>
          <w:fldChar w:fldCharType="begin"/>
        </w:r>
        <w:r w:rsidR="0029023D">
          <w:rPr>
            <w:noProof/>
            <w:webHidden/>
          </w:rPr>
          <w:instrText xml:space="preserve"> PAGEREF _Toc326919240 \h </w:instrText>
        </w:r>
        <w:r>
          <w:rPr>
            <w:noProof/>
            <w:webHidden/>
          </w:rPr>
        </w:r>
        <w:r>
          <w:rPr>
            <w:noProof/>
            <w:webHidden/>
          </w:rPr>
          <w:fldChar w:fldCharType="separate"/>
        </w:r>
        <w:r w:rsidR="00214FC0">
          <w:rPr>
            <w:noProof/>
            <w:webHidden/>
          </w:rPr>
          <w:t>5</w:t>
        </w:r>
        <w:r>
          <w:rPr>
            <w:noProof/>
            <w:webHidden/>
          </w:rPr>
          <w:fldChar w:fldCharType="end"/>
        </w:r>
      </w:hyperlink>
    </w:p>
    <w:p w:rsidR="0029023D" w:rsidRDefault="002158F8">
      <w:pPr>
        <w:pStyle w:val="TOC2"/>
        <w:tabs>
          <w:tab w:val="left" w:pos="880"/>
          <w:tab w:val="right" w:leader="dot" w:pos="9016"/>
        </w:tabs>
        <w:rPr>
          <w:rFonts w:asciiTheme="minorHAnsi" w:eastAsiaTheme="minorEastAsia" w:hAnsiTheme="minorHAnsi" w:cstheme="minorBidi"/>
          <w:noProof/>
          <w:lang w:eastAsia="en-AU"/>
        </w:rPr>
      </w:pPr>
      <w:hyperlink w:anchor="_Toc326919241" w:history="1">
        <w:r w:rsidR="0029023D" w:rsidRPr="006D70E5">
          <w:rPr>
            <w:rStyle w:val="Hyperlink"/>
            <w:noProof/>
          </w:rPr>
          <w:t>4.2</w:t>
        </w:r>
        <w:r w:rsidR="0029023D">
          <w:rPr>
            <w:rFonts w:asciiTheme="minorHAnsi" w:eastAsiaTheme="minorEastAsia" w:hAnsiTheme="minorHAnsi" w:cstheme="minorBidi"/>
            <w:noProof/>
            <w:lang w:eastAsia="en-AU"/>
          </w:rPr>
          <w:tab/>
        </w:r>
        <w:r w:rsidR="0029023D" w:rsidRPr="006D70E5">
          <w:rPr>
            <w:rStyle w:val="Hyperlink"/>
            <w:noProof/>
          </w:rPr>
          <w:t>Trip attractors</w:t>
        </w:r>
        <w:r w:rsidR="0029023D">
          <w:rPr>
            <w:noProof/>
            <w:webHidden/>
          </w:rPr>
          <w:tab/>
        </w:r>
        <w:r>
          <w:rPr>
            <w:noProof/>
            <w:webHidden/>
          </w:rPr>
          <w:fldChar w:fldCharType="begin"/>
        </w:r>
        <w:r w:rsidR="0029023D">
          <w:rPr>
            <w:noProof/>
            <w:webHidden/>
          </w:rPr>
          <w:instrText xml:space="preserve"> PAGEREF _Toc326919241 \h </w:instrText>
        </w:r>
        <w:r>
          <w:rPr>
            <w:noProof/>
            <w:webHidden/>
          </w:rPr>
        </w:r>
        <w:r>
          <w:rPr>
            <w:noProof/>
            <w:webHidden/>
          </w:rPr>
          <w:fldChar w:fldCharType="separate"/>
        </w:r>
        <w:r w:rsidR="00214FC0">
          <w:rPr>
            <w:noProof/>
            <w:webHidden/>
          </w:rPr>
          <w:t>8</w:t>
        </w:r>
        <w:r>
          <w:rPr>
            <w:noProof/>
            <w:webHidden/>
          </w:rPr>
          <w:fldChar w:fldCharType="end"/>
        </w:r>
      </w:hyperlink>
    </w:p>
    <w:p w:rsidR="0029023D" w:rsidRDefault="002158F8">
      <w:pPr>
        <w:pStyle w:val="TOC3"/>
        <w:tabs>
          <w:tab w:val="left" w:pos="1320"/>
          <w:tab w:val="right" w:leader="dot" w:pos="9016"/>
        </w:tabs>
        <w:rPr>
          <w:rFonts w:asciiTheme="minorHAnsi" w:eastAsiaTheme="minorEastAsia" w:hAnsiTheme="minorHAnsi" w:cstheme="minorBidi"/>
          <w:noProof/>
          <w:lang w:eastAsia="en-AU"/>
        </w:rPr>
      </w:pPr>
      <w:hyperlink w:anchor="_Toc326919242" w:history="1">
        <w:r w:rsidR="0029023D" w:rsidRPr="006D70E5">
          <w:rPr>
            <w:rStyle w:val="Hyperlink"/>
            <w:noProof/>
          </w:rPr>
          <w:t>4.2.1</w:t>
        </w:r>
        <w:r w:rsidR="0029023D">
          <w:rPr>
            <w:rFonts w:asciiTheme="minorHAnsi" w:eastAsiaTheme="minorEastAsia" w:hAnsiTheme="minorHAnsi" w:cstheme="minorBidi"/>
            <w:noProof/>
            <w:lang w:eastAsia="en-AU"/>
          </w:rPr>
          <w:tab/>
        </w:r>
        <w:r w:rsidR="0029023D" w:rsidRPr="006D70E5">
          <w:rPr>
            <w:rStyle w:val="Hyperlink"/>
            <w:noProof/>
          </w:rPr>
          <w:t>Activity centres</w:t>
        </w:r>
        <w:r w:rsidR="0029023D">
          <w:rPr>
            <w:noProof/>
            <w:webHidden/>
          </w:rPr>
          <w:tab/>
        </w:r>
        <w:r>
          <w:rPr>
            <w:noProof/>
            <w:webHidden/>
          </w:rPr>
          <w:fldChar w:fldCharType="begin"/>
        </w:r>
        <w:r w:rsidR="0029023D">
          <w:rPr>
            <w:noProof/>
            <w:webHidden/>
          </w:rPr>
          <w:instrText xml:space="preserve"> PAGEREF _Toc326919242 \h </w:instrText>
        </w:r>
        <w:r>
          <w:rPr>
            <w:noProof/>
            <w:webHidden/>
          </w:rPr>
        </w:r>
        <w:r>
          <w:rPr>
            <w:noProof/>
            <w:webHidden/>
          </w:rPr>
          <w:fldChar w:fldCharType="separate"/>
        </w:r>
        <w:r w:rsidR="00214FC0">
          <w:rPr>
            <w:noProof/>
            <w:webHidden/>
          </w:rPr>
          <w:t>8</w:t>
        </w:r>
        <w:r>
          <w:rPr>
            <w:noProof/>
            <w:webHidden/>
          </w:rPr>
          <w:fldChar w:fldCharType="end"/>
        </w:r>
      </w:hyperlink>
    </w:p>
    <w:p w:rsidR="0029023D" w:rsidRDefault="002158F8">
      <w:pPr>
        <w:pStyle w:val="TOC3"/>
        <w:tabs>
          <w:tab w:val="left" w:pos="1320"/>
          <w:tab w:val="right" w:leader="dot" w:pos="9016"/>
        </w:tabs>
        <w:rPr>
          <w:rFonts w:asciiTheme="minorHAnsi" w:eastAsiaTheme="minorEastAsia" w:hAnsiTheme="minorHAnsi" w:cstheme="minorBidi"/>
          <w:noProof/>
          <w:lang w:eastAsia="en-AU"/>
        </w:rPr>
      </w:pPr>
      <w:hyperlink w:anchor="_Toc326919243" w:history="1">
        <w:r w:rsidR="0029023D" w:rsidRPr="006D70E5">
          <w:rPr>
            <w:rStyle w:val="Hyperlink"/>
            <w:noProof/>
          </w:rPr>
          <w:t>4.2.2</w:t>
        </w:r>
        <w:r w:rsidR="0029023D">
          <w:rPr>
            <w:rFonts w:asciiTheme="minorHAnsi" w:eastAsiaTheme="minorEastAsia" w:hAnsiTheme="minorHAnsi" w:cstheme="minorBidi"/>
            <w:noProof/>
            <w:lang w:eastAsia="en-AU"/>
          </w:rPr>
          <w:tab/>
        </w:r>
        <w:r w:rsidR="0029023D" w:rsidRPr="006D70E5">
          <w:rPr>
            <w:rStyle w:val="Hyperlink"/>
            <w:noProof/>
          </w:rPr>
          <w:t>Educational institutions</w:t>
        </w:r>
        <w:r w:rsidR="0029023D">
          <w:rPr>
            <w:noProof/>
            <w:webHidden/>
          </w:rPr>
          <w:tab/>
        </w:r>
        <w:r>
          <w:rPr>
            <w:noProof/>
            <w:webHidden/>
          </w:rPr>
          <w:fldChar w:fldCharType="begin"/>
        </w:r>
        <w:r w:rsidR="0029023D">
          <w:rPr>
            <w:noProof/>
            <w:webHidden/>
          </w:rPr>
          <w:instrText xml:space="preserve"> PAGEREF _Toc326919243 \h </w:instrText>
        </w:r>
        <w:r>
          <w:rPr>
            <w:noProof/>
            <w:webHidden/>
          </w:rPr>
        </w:r>
        <w:r>
          <w:rPr>
            <w:noProof/>
            <w:webHidden/>
          </w:rPr>
          <w:fldChar w:fldCharType="separate"/>
        </w:r>
        <w:r w:rsidR="00214FC0">
          <w:rPr>
            <w:noProof/>
            <w:webHidden/>
          </w:rPr>
          <w:t>10</w:t>
        </w:r>
        <w:r>
          <w:rPr>
            <w:noProof/>
            <w:webHidden/>
          </w:rPr>
          <w:fldChar w:fldCharType="end"/>
        </w:r>
      </w:hyperlink>
    </w:p>
    <w:p w:rsidR="0029023D" w:rsidRDefault="002158F8">
      <w:pPr>
        <w:pStyle w:val="TOC3"/>
        <w:tabs>
          <w:tab w:val="left" w:pos="1320"/>
          <w:tab w:val="right" w:leader="dot" w:pos="9016"/>
        </w:tabs>
        <w:rPr>
          <w:rFonts w:asciiTheme="minorHAnsi" w:eastAsiaTheme="minorEastAsia" w:hAnsiTheme="minorHAnsi" w:cstheme="minorBidi"/>
          <w:noProof/>
          <w:lang w:eastAsia="en-AU"/>
        </w:rPr>
      </w:pPr>
      <w:hyperlink w:anchor="_Toc326919244" w:history="1">
        <w:r w:rsidR="0029023D" w:rsidRPr="006D70E5">
          <w:rPr>
            <w:rStyle w:val="Hyperlink"/>
            <w:noProof/>
          </w:rPr>
          <w:t>4.2.3</w:t>
        </w:r>
        <w:r w:rsidR="0029023D">
          <w:rPr>
            <w:rFonts w:asciiTheme="minorHAnsi" w:eastAsiaTheme="minorEastAsia" w:hAnsiTheme="minorHAnsi" w:cstheme="minorBidi"/>
            <w:noProof/>
            <w:lang w:eastAsia="en-AU"/>
          </w:rPr>
          <w:tab/>
        </w:r>
        <w:r w:rsidR="0029023D" w:rsidRPr="006D70E5">
          <w:rPr>
            <w:rStyle w:val="Hyperlink"/>
            <w:noProof/>
          </w:rPr>
          <w:t>Other trip attractors</w:t>
        </w:r>
        <w:r w:rsidR="0029023D">
          <w:rPr>
            <w:noProof/>
            <w:webHidden/>
          </w:rPr>
          <w:tab/>
        </w:r>
        <w:r>
          <w:rPr>
            <w:noProof/>
            <w:webHidden/>
          </w:rPr>
          <w:fldChar w:fldCharType="begin"/>
        </w:r>
        <w:r w:rsidR="0029023D">
          <w:rPr>
            <w:noProof/>
            <w:webHidden/>
          </w:rPr>
          <w:instrText xml:space="preserve"> PAGEREF _Toc326919244 \h </w:instrText>
        </w:r>
        <w:r>
          <w:rPr>
            <w:noProof/>
            <w:webHidden/>
          </w:rPr>
        </w:r>
        <w:r>
          <w:rPr>
            <w:noProof/>
            <w:webHidden/>
          </w:rPr>
          <w:fldChar w:fldCharType="separate"/>
        </w:r>
        <w:r w:rsidR="00214FC0">
          <w:rPr>
            <w:noProof/>
            <w:webHidden/>
          </w:rPr>
          <w:t>11</w:t>
        </w:r>
        <w:r>
          <w:rPr>
            <w:noProof/>
            <w:webHidden/>
          </w:rPr>
          <w:fldChar w:fldCharType="end"/>
        </w:r>
      </w:hyperlink>
    </w:p>
    <w:p w:rsidR="0029023D" w:rsidRDefault="002158F8">
      <w:pPr>
        <w:pStyle w:val="TOC1"/>
        <w:tabs>
          <w:tab w:val="left" w:pos="440"/>
          <w:tab w:val="right" w:leader="dot" w:pos="9016"/>
        </w:tabs>
        <w:rPr>
          <w:rFonts w:asciiTheme="minorHAnsi" w:eastAsiaTheme="minorEastAsia" w:hAnsiTheme="minorHAnsi" w:cstheme="minorBidi"/>
          <w:noProof/>
          <w:lang w:eastAsia="en-AU"/>
        </w:rPr>
      </w:pPr>
      <w:hyperlink w:anchor="_Toc326919245" w:history="1">
        <w:r w:rsidR="0029023D" w:rsidRPr="006D70E5">
          <w:rPr>
            <w:rStyle w:val="Hyperlink"/>
            <w:noProof/>
          </w:rPr>
          <w:t>5</w:t>
        </w:r>
        <w:r w:rsidR="0029023D">
          <w:rPr>
            <w:rFonts w:asciiTheme="minorHAnsi" w:eastAsiaTheme="minorEastAsia" w:hAnsiTheme="minorHAnsi" w:cstheme="minorBidi"/>
            <w:noProof/>
            <w:lang w:eastAsia="en-AU"/>
          </w:rPr>
          <w:tab/>
        </w:r>
        <w:r w:rsidR="0029023D" w:rsidRPr="006D70E5">
          <w:rPr>
            <w:rStyle w:val="Hyperlink"/>
            <w:noProof/>
          </w:rPr>
          <w:t>The case for more compact and mixed use development patterns</w:t>
        </w:r>
        <w:r w:rsidR="0029023D">
          <w:rPr>
            <w:noProof/>
            <w:webHidden/>
          </w:rPr>
          <w:tab/>
        </w:r>
        <w:r>
          <w:rPr>
            <w:noProof/>
            <w:webHidden/>
          </w:rPr>
          <w:fldChar w:fldCharType="begin"/>
        </w:r>
        <w:r w:rsidR="0029023D">
          <w:rPr>
            <w:noProof/>
            <w:webHidden/>
          </w:rPr>
          <w:instrText xml:space="preserve"> PAGEREF _Toc326919245 \h </w:instrText>
        </w:r>
        <w:r>
          <w:rPr>
            <w:noProof/>
            <w:webHidden/>
          </w:rPr>
        </w:r>
        <w:r>
          <w:rPr>
            <w:noProof/>
            <w:webHidden/>
          </w:rPr>
          <w:fldChar w:fldCharType="separate"/>
        </w:r>
        <w:r w:rsidR="00214FC0">
          <w:rPr>
            <w:noProof/>
            <w:webHidden/>
          </w:rPr>
          <w:t>14</w:t>
        </w:r>
        <w:r>
          <w:rPr>
            <w:noProof/>
            <w:webHidden/>
          </w:rPr>
          <w:fldChar w:fldCharType="end"/>
        </w:r>
      </w:hyperlink>
    </w:p>
    <w:p w:rsidR="0029023D" w:rsidRDefault="002158F8">
      <w:pPr>
        <w:pStyle w:val="TOC2"/>
        <w:tabs>
          <w:tab w:val="left" w:pos="880"/>
          <w:tab w:val="right" w:leader="dot" w:pos="9016"/>
        </w:tabs>
        <w:rPr>
          <w:rFonts w:asciiTheme="minorHAnsi" w:eastAsiaTheme="minorEastAsia" w:hAnsiTheme="minorHAnsi" w:cstheme="minorBidi"/>
          <w:noProof/>
          <w:lang w:eastAsia="en-AU"/>
        </w:rPr>
      </w:pPr>
      <w:hyperlink w:anchor="_Toc326919246" w:history="1">
        <w:r w:rsidR="0029023D" w:rsidRPr="006D70E5">
          <w:rPr>
            <w:rStyle w:val="Hyperlink"/>
            <w:rFonts w:eastAsia="LucidaSans"/>
            <w:noProof/>
          </w:rPr>
          <w:t>5.1</w:t>
        </w:r>
        <w:r w:rsidR="0029023D">
          <w:rPr>
            <w:rFonts w:asciiTheme="minorHAnsi" w:eastAsiaTheme="minorEastAsia" w:hAnsiTheme="minorHAnsi" w:cstheme="minorBidi"/>
            <w:noProof/>
            <w:lang w:eastAsia="en-AU"/>
          </w:rPr>
          <w:tab/>
        </w:r>
        <w:r w:rsidR="0029023D" w:rsidRPr="006D70E5">
          <w:rPr>
            <w:rStyle w:val="Hyperlink"/>
            <w:rFonts w:eastAsia="LucidaSans"/>
            <w:noProof/>
          </w:rPr>
          <w:t>Cost of infill development</w:t>
        </w:r>
        <w:r w:rsidR="0029023D">
          <w:rPr>
            <w:noProof/>
            <w:webHidden/>
          </w:rPr>
          <w:tab/>
        </w:r>
        <w:r>
          <w:rPr>
            <w:noProof/>
            <w:webHidden/>
          </w:rPr>
          <w:fldChar w:fldCharType="begin"/>
        </w:r>
        <w:r w:rsidR="0029023D">
          <w:rPr>
            <w:noProof/>
            <w:webHidden/>
          </w:rPr>
          <w:instrText xml:space="preserve"> PAGEREF _Toc326919246 \h </w:instrText>
        </w:r>
        <w:r>
          <w:rPr>
            <w:noProof/>
            <w:webHidden/>
          </w:rPr>
        </w:r>
        <w:r>
          <w:rPr>
            <w:noProof/>
            <w:webHidden/>
          </w:rPr>
          <w:fldChar w:fldCharType="separate"/>
        </w:r>
        <w:r w:rsidR="00214FC0">
          <w:rPr>
            <w:noProof/>
            <w:webHidden/>
          </w:rPr>
          <w:t>15</w:t>
        </w:r>
        <w:r>
          <w:rPr>
            <w:noProof/>
            <w:webHidden/>
          </w:rPr>
          <w:fldChar w:fldCharType="end"/>
        </w:r>
      </w:hyperlink>
    </w:p>
    <w:p w:rsidR="0029023D" w:rsidRDefault="002158F8">
      <w:pPr>
        <w:pStyle w:val="TOC1"/>
        <w:tabs>
          <w:tab w:val="left" w:pos="440"/>
          <w:tab w:val="right" w:leader="dot" w:pos="9016"/>
        </w:tabs>
        <w:rPr>
          <w:rFonts w:asciiTheme="minorHAnsi" w:eastAsiaTheme="minorEastAsia" w:hAnsiTheme="minorHAnsi" w:cstheme="minorBidi"/>
          <w:noProof/>
          <w:lang w:eastAsia="en-AU"/>
        </w:rPr>
      </w:pPr>
      <w:hyperlink w:anchor="_Toc326919247" w:history="1">
        <w:r w:rsidR="0029023D" w:rsidRPr="006D70E5">
          <w:rPr>
            <w:rStyle w:val="Hyperlink"/>
            <w:noProof/>
          </w:rPr>
          <w:t>6</w:t>
        </w:r>
        <w:r w:rsidR="0029023D">
          <w:rPr>
            <w:rFonts w:asciiTheme="minorHAnsi" w:eastAsiaTheme="minorEastAsia" w:hAnsiTheme="minorHAnsi" w:cstheme="minorBidi"/>
            <w:noProof/>
            <w:lang w:eastAsia="en-AU"/>
          </w:rPr>
          <w:tab/>
        </w:r>
        <w:r w:rsidR="0029023D" w:rsidRPr="006D70E5">
          <w:rPr>
            <w:rStyle w:val="Hyperlink"/>
            <w:noProof/>
          </w:rPr>
          <w:t>Strategic planning to support infill development</w:t>
        </w:r>
        <w:r w:rsidR="0029023D">
          <w:rPr>
            <w:noProof/>
            <w:webHidden/>
          </w:rPr>
          <w:tab/>
        </w:r>
        <w:r>
          <w:rPr>
            <w:noProof/>
            <w:webHidden/>
          </w:rPr>
          <w:fldChar w:fldCharType="begin"/>
        </w:r>
        <w:r w:rsidR="0029023D">
          <w:rPr>
            <w:noProof/>
            <w:webHidden/>
          </w:rPr>
          <w:instrText xml:space="preserve"> PAGEREF _Toc326919247 \h </w:instrText>
        </w:r>
        <w:r>
          <w:rPr>
            <w:noProof/>
            <w:webHidden/>
          </w:rPr>
        </w:r>
        <w:r>
          <w:rPr>
            <w:noProof/>
            <w:webHidden/>
          </w:rPr>
          <w:fldChar w:fldCharType="separate"/>
        </w:r>
        <w:r w:rsidR="00214FC0">
          <w:rPr>
            <w:noProof/>
            <w:webHidden/>
          </w:rPr>
          <w:t>16</w:t>
        </w:r>
        <w:r>
          <w:rPr>
            <w:noProof/>
            <w:webHidden/>
          </w:rPr>
          <w:fldChar w:fldCharType="end"/>
        </w:r>
      </w:hyperlink>
    </w:p>
    <w:p w:rsidR="0029023D" w:rsidRDefault="002158F8">
      <w:pPr>
        <w:pStyle w:val="TOC2"/>
        <w:tabs>
          <w:tab w:val="left" w:pos="880"/>
          <w:tab w:val="right" w:leader="dot" w:pos="9016"/>
        </w:tabs>
        <w:rPr>
          <w:rFonts w:asciiTheme="minorHAnsi" w:eastAsiaTheme="minorEastAsia" w:hAnsiTheme="minorHAnsi" w:cstheme="minorBidi"/>
          <w:noProof/>
          <w:lang w:eastAsia="en-AU"/>
        </w:rPr>
      </w:pPr>
      <w:hyperlink w:anchor="_Toc326919248" w:history="1">
        <w:r w:rsidR="0029023D" w:rsidRPr="006D70E5">
          <w:rPr>
            <w:rStyle w:val="Hyperlink"/>
            <w:noProof/>
          </w:rPr>
          <w:t>6.1</w:t>
        </w:r>
        <w:r w:rsidR="0029023D">
          <w:rPr>
            <w:rFonts w:asciiTheme="minorHAnsi" w:eastAsiaTheme="minorEastAsia" w:hAnsiTheme="minorHAnsi" w:cstheme="minorBidi"/>
            <w:noProof/>
            <w:lang w:eastAsia="en-AU"/>
          </w:rPr>
          <w:tab/>
        </w:r>
        <w:r w:rsidR="0029023D" w:rsidRPr="006D70E5">
          <w:rPr>
            <w:rStyle w:val="Hyperlink"/>
            <w:noProof/>
          </w:rPr>
          <w:t>Planning Scheme provisions</w:t>
        </w:r>
        <w:r w:rsidR="0029023D">
          <w:rPr>
            <w:noProof/>
            <w:webHidden/>
          </w:rPr>
          <w:tab/>
        </w:r>
        <w:r>
          <w:rPr>
            <w:noProof/>
            <w:webHidden/>
          </w:rPr>
          <w:fldChar w:fldCharType="begin"/>
        </w:r>
        <w:r w:rsidR="0029023D">
          <w:rPr>
            <w:noProof/>
            <w:webHidden/>
          </w:rPr>
          <w:instrText xml:space="preserve"> PAGEREF _Toc326919248 \h </w:instrText>
        </w:r>
        <w:r>
          <w:rPr>
            <w:noProof/>
            <w:webHidden/>
          </w:rPr>
        </w:r>
        <w:r>
          <w:rPr>
            <w:noProof/>
            <w:webHidden/>
          </w:rPr>
          <w:fldChar w:fldCharType="separate"/>
        </w:r>
        <w:r w:rsidR="00214FC0">
          <w:rPr>
            <w:noProof/>
            <w:webHidden/>
          </w:rPr>
          <w:t>17</w:t>
        </w:r>
        <w:r>
          <w:rPr>
            <w:noProof/>
            <w:webHidden/>
          </w:rPr>
          <w:fldChar w:fldCharType="end"/>
        </w:r>
      </w:hyperlink>
    </w:p>
    <w:p w:rsidR="0029023D" w:rsidRDefault="002158F8">
      <w:pPr>
        <w:pStyle w:val="TOC2"/>
        <w:tabs>
          <w:tab w:val="left" w:pos="880"/>
          <w:tab w:val="right" w:leader="dot" w:pos="9016"/>
        </w:tabs>
        <w:rPr>
          <w:rFonts w:asciiTheme="minorHAnsi" w:eastAsiaTheme="minorEastAsia" w:hAnsiTheme="minorHAnsi" w:cstheme="minorBidi"/>
          <w:noProof/>
          <w:lang w:eastAsia="en-AU"/>
        </w:rPr>
      </w:pPr>
      <w:hyperlink w:anchor="_Toc326919249" w:history="1">
        <w:r w:rsidR="0029023D" w:rsidRPr="006D70E5">
          <w:rPr>
            <w:rStyle w:val="Hyperlink"/>
            <w:noProof/>
          </w:rPr>
          <w:t>6.2</w:t>
        </w:r>
        <w:r w:rsidR="0029023D">
          <w:rPr>
            <w:rFonts w:asciiTheme="minorHAnsi" w:eastAsiaTheme="minorEastAsia" w:hAnsiTheme="minorHAnsi" w:cstheme="minorBidi"/>
            <w:noProof/>
            <w:lang w:eastAsia="en-AU"/>
          </w:rPr>
          <w:tab/>
        </w:r>
        <w:r w:rsidR="0029023D" w:rsidRPr="006D70E5">
          <w:rPr>
            <w:rStyle w:val="Hyperlink"/>
            <w:noProof/>
          </w:rPr>
          <w:t>Identification of high residential density opportunities</w:t>
        </w:r>
        <w:r w:rsidR="0029023D">
          <w:rPr>
            <w:noProof/>
            <w:webHidden/>
          </w:rPr>
          <w:tab/>
        </w:r>
        <w:r>
          <w:rPr>
            <w:noProof/>
            <w:webHidden/>
          </w:rPr>
          <w:fldChar w:fldCharType="begin"/>
        </w:r>
        <w:r w:rsidR="0029023D">
          <w:rPr>
            <w:noProof/>
            <w:webHidden/>
          </w:rPr>
          <w:instrText xml:space="preserve"> PAGEREF _Toc326919249 \h </w:instrText>
        </w:r>
        <w:r>
          <w:rPr>
            <w:noProof/>
            <w:webHidden/>
          </w:rPr>
        </w:r>
        <w:r>
          <w:rPr>
            <w:noProof/>
            <w:webHidden/>
          </w:rPr>
          <w:fldChar w:fldCharType="separate"/>
        </w:r>
        <w:r w:rsidR="00214FC0">
          <w:rPr>
            <w:noProof/>
            <w:webHidden/>
          </w:rPr>
          <w:t>17</w:t>
        </w:r>
        <w:r>
          <w:rPr>
            <w:noProof/>
            <w:webHidden/>
          </w:rPr>
          <w:fldChar w:fldCharType="end"/>
        </w:r>
      </w:hyperlink>
    </w:p>
    <w:p w:rsidR="00B42571" w:rsidRDefault="002158F8">
      <w:r>
        <w:fldChar w:fldCharType="end"/>
      </w:r>
    </w:p>
    <w:p w:rsidR="00E62426" w:rsidRDefault="00B42571" w:rsidP="00BA1A5C">
      <w:pPr>
        <w:pStyle w:val="Heading1"/>
      </w:pPr>
      <w:r>
        <w:br w:type="page"/>
      </w:r>
      <w:bookmarkStart w:id="0" w:name="_Toc326919235"/>
      <w:r w:rsidR="00E62426">
        <w:lastRenderedPageBreak/>
        <w:t>Key points</w:t>
      </w:r>
      <w:bookmarkEnd w:id="0"/>
    </w:p>
    <w:p w:rsidR="004C72E3" w:rsidRDefault="004C72E3" w:rsidP="004C72E3">
      <w:pPr>
        <w:autoSpaceDE w:val="0"/>
        <w:autoSpaceDN w:val="0"/>
        <w:adjustRightInd w:val="0"/>
        <w:spacing w:after="120" w:line="240" w:lineRule="auto"/>
        <w:jc w:val="both"/>
      </w:pPr>
      <w:r w:rsidRPr="006903C0">
        <w:t xml:space="preserve">This report highlights </w:t>
      </w:r>
      <w:r>
        <w:t>key issues in regard to land use planning:</w:t>
      </w:r>
    </w:p>
    <w:p w:rsidR="007165B9" w:rsidRDefault="004C72E3" w:rsidP="00E62426">
      <w:pPr>
        <w:numPr>
          <w:ilvl w:val="0"/>
          <w:numId w:val="34"/>
        </w:numPr>
        <w:autoSpaceDE w:val="0"/>
        <w:autoSpaceDN w:val="0"/>
        <w:adjustRightInd w:val="0"/>
        <w:spacing w:after="120" w:line="240" w:lineRule="auto"/>
        <w:jc w:val="both"/>
        <w:rPr>
          <w:bCs/>
        </w:rPr>
      </w:pPr>
      <w:r w:rsidRPr="004C72E3">
        <w:rPr>
          <w:b/>
          <w:bCs/>
        </w:rPr>
        <w:t>Transport and land use planning:</w:t>
      </w:r>
      <w:r w:rsidR="002176D1">
        <w:rPr>
          <w:bCs/>
        </w:rPr>
        <w:t xml:space="preserve"> L</w:t>
      </w:r>
      <w:r>
        <w:rPr>
          <w:bCs/>
        </w:rPr>
        <w:t xml:space="preserve">and use planning </w:t>
      </w:r>
      <w:r>
        <w:t>directly affects both the demand for travel and mode of travel.</w:t>
      </w:r>
      <w:r>
        <w:rPr>
          <w:bCs/>
        </w:rPr>
        <w:t xml:space="preserve"> </w:t>
      </w:r>
      <w:r w:rsidR="002176D1">
        <w:rPr>
          <w:bCs/>
        </w:rPr>
        <w:t>Past land use policy has resulted in l</w:t>
      </w:r>
      <w:r w:rsidR="00CA3371">
        <w:rPr>
          <w:bCs/>
        </w:rPr>
        <w:t xml:space="preserve">ow density development patterns </w:t>
      </w:r>
      <w:r w:rsidR="00D25289">
        <w:rPr>
          <w:bCs/>
        </w:rPr>
        <w:t>(</w:t>
      </w:r>
      <w:r w:rsidR="00CA3371">
        <w:rPr>
          <w:bCs/>
        </w:rPr>
        <w:t>particularly in outer urban areas</w:t>
      </w:r>
      <w:r w:rsidR="00D25289">
        <w:rPr>
          <w:bCs/>
        </w:rPr>
        <w:t>)</w:t>
      </w:r>
      <w:r w:rsidR="00CA3371">
        <w:rPr>
          <w:bCs/>
        </w:rPr>
        <w:t xml:space="preserve"> and </w:t>
      </w:r>
      <w:r w:rsidR="002176D1">
        <w:rPr>
          <w:bCs/>
        </w:rPr>
        <w:t>separation of land uses</w:t>
      </w:r>
      <w:r w:rsidR="00D25289">
        <w:rPr>
          <w:bCs/>
        </w:rPr>
        <w:t>,</w:t>
      </w:r>
      <w:r w:rsidR="002176D1">
        <w:rPr>
          <w:bCs/>
        </w:rPr>
        <w:t xml:space="preserve"> which has created </w:t>
      </w:r>
      <w:r w:rsidR="00D25289">
        <w:rPr>
          <w:bCs/>
        </w:rPr>
        <w:t xml:space="preserve">high </w:t>
      </w:r>
      <w:r w:rsidR="002176D1">
        <w:rPr>
          <w:bCs/>
        </w:rPr>
        <w:t xml:space="preserve">dependency on the car and makes effective provision of public transport </w:t>
      </w:r>
      <w:r w:rsidR="00D25289">
        <w:rPr>
          <w:bCs/>
        </w:rPr>
        <w:t>problematic</w:t>
      </w:r>
      <w:r w:rsidR="00BA1A5C">
        <w:rPr>
          <w:bCs/>
        </w:rPr>
        <w:t>.</w:t>
      </w:r>
      <w:r w:rsidR="002176D1">
        <w:rPr>
          <w:bCs/>
        </w:rPr>
        <w:t xml:space="preserve"> </w:t>
      </w:r>
    </w:p>
    <w:p w:rsidR="002176D1" w:rsidRDefault="002176D1" w:rsidP="004C72E3">
      <w:pPr>
        <w:numPr>
          <w:ilvl w:val="0"/>
          <w:numId w:val="33"/>
        </w:numPr>
        <w:autoSpaceDE w:val="0"/>
        <w:autoSpaceDN w:val="0"/>
        <w:adjustRightInd w:val="0"/>
        <w:spacing w:after="120" w:line="240" w:lineRule="auto"/>
        <w:jc w:val="both"/>
        <w:rPr>
          <w:bCs/>
        </w:rPr>
      </w:pPr>
      <w:r w:rsidRPr="002176D1">
        <w:rPr>
          <w:b/>
          <w:bCs/>
        </w:rPr>
        <w:t xml:space="preserve">Land use along the Transit Corridor: </w:t>
      </w:r>
      <w:r w:rsidRPr="002176D1">
        <w:rPr>
          <w:bCs/>
        </w:rPr>
        <w:t xml:space="preserve">The Corridor </w:t>
      </w:r>
      <w:r w:rsidRPr="00661C5D">
        <w:t xml:space="preserve">has a high number of trip attractors located </w:t>
      </w:r>
      <w:r>
        <w:t>along its length,</w:t>
      </w:r>
      <w:r w:rsidRPr="00661C5D">
        <w:t xml:space="preserve"> including activity centres</w:t>
      </w:r>
      <w:r>
        <w:t>:</w:t>
      </w:r>
    </w:p>
    <w:p w:rsidR="002176D1" w:rsidRPr="00D53221" w:rsidRDefault="00D53221" w:rsidP="00D53221">
      <w:pPr>
        <w:numPr>
          <w:ilvl w:val="2"/>
          <w:numId w:val="33"/>
        </w:numPr>
        <w:autoSpaceDE w:val="0"/>
        <w:autoSpaceDN w:val="0"/>
        <w:adjustRightInd w:val="0"/>
        <w:spacing w:after="120" w:line="240" w:lineRule="auto"/>
        <w:jc w:val="both"/>
        <w:rPr>
          <w:bCs/>
        </w:rPr>
      </w:pPr>
      <w:r>
        <w:t xml:space="preserve">The Corridor is the most densely populated commercial strip in Greater Hobart containing five activity centres including Hobart CBD and Glenorchy. The total </w:t>
      </w:r>
      <w:r w:rsidR="00D25289">
        <w:t>number of people employed</w:t>
      </w:r>
      <w:r>
        <w:t xml:space="preserve"> along the Corridor is 42 285 people</w:t>
      </w:r>
      <w:r w:rsidR="00D25289">
        <w:t>, based on journey to work data</w:t>
      </w:r>
      <w:r>
        <w:t xml:space="preserve"> (ABS, 2006). Employment is a major </w:t>
      </w:r>
      <w:r w:rsidRPr="00135541">
        <w:t>dri</w:t>
      </w:r>
      <w:r>
        <w:t>ver of public transport demand</w:t>
      </w:r>
      <w:r w:rsidRPr="00661C5D">
        <w:t>.</w:t>
      </w:r>
    </w:p>
    <w:p w:rsidR="002176D1" w:rsidRPr="00D53221" w:rsidRDefault="00D53221" w:rsidP="00D53221">
      <w:pPr>
        <w:numPr>
          <w:ilvl w:val="2"/>
          <w:numId w:val="33"/>
        </w:numPr>
        <w:autoSpaceDE w:val="0"/>
        <w:autoSpaceDN w:val="0"/>
        <w:adjustRightInd w:val="0"/>
        <w:spacing w:after="120" w:line="240" w:lineRule="auto"/>
        <w:jc w:val="both"/>
        <w:rPr>
          <w:bCs/>
        </w:rPr>
      </w:pPr>
      <w:r>
        <w:t xml:space="preserve">The Corridor </w:t>
      </w:r>
      <w:r w:rsidR="002176D1" w:rsidRPr="00D53221">
        <w:rPr>
          <w:bCs/>
        </w:rPr>
        <w:t xml:space="preserve">already contains pockets of medium to high residential </w:t>
      </w:r>
      <w:r>
        <w:rPr>
          <w:bCs/>
        </w:rPr>
        <w:t>density. The challenge will be to investigate whether there are opportunities for further intensification of residential and mixed use</w:t>
      </w:r>
      <w:r w:rsidR="00BA1A5C">
        <w:rPr>
          <w:bCs/>
        </w:rPr>
        <w:t xml:space="preserve"> along the Corridor</w:t>
      </w:r>
      <w:r w:rsidR="00AF05E5">
        <w:rPr>
          <w:bCs/>
        </w:rPr>
        <w:t xml:space="preserve"> to </w:t>
      </w:r>
      <w:r w:rsidR="00D25289">
        <w:rPr>
          <w:bCs/>
        </w:rPr>
        <w:t>increase the potential market for</w:t>
      </w:r>
      <w:r w:rsidR="00AF05E5">
        <w:rPr>
          <w:bCs/>
        </w:rPr>
        <w:t xml:space="preserve"> public transport.</w:t>
      </w:r>
    </w:p>
    <w:p w:rsidR="00D53221" w:rsidRDefault="00CA3371" w:rsidP="00BA1A5C">
      <w:pPr>
        <w:numPr>
          <w:ilvl w:val="0"/>
          <w:numId w:val="33"/>
        </w:numPr>
        <w:spacing w:after="120" w:line="240" w:lineRule="auto"/>
        <w:jc w:val="both"/>
      </w:pPr>
      <w:r w:rsidRPr="00CA3371">
        <w:rPr>
          <w:b/>
        </w:rPr>
        <w:t>Infill verus Greenfield development:</w:t>
      </w:r>
      <w:r>
        <w:t xml:space="preserve"> 85 percent of new dwellings in Greater Hobart are built on Greenfield sites</w:t>
      </w:r>
      <w:r w:rsidRPr="00CA3371">
        <w:rPr>
          <w:iCs/>
          <w:lang w:val="en-GB"/>
        </w:rPr>
        <w:t>, at a relatively low density of seven to ten dwellings per hectare</w:t>
      </w:r>
      <w:r w:rsidRPr="00CA3371">
        <w:t xml:space="preserve"> </w:t>
      </w:r>
      <w:r>
        <w:t xml:space="preserve">(STCA 2011). </w:t>
      </w:r>
      <w:r w:rsidRPr="00BA1A5C">
        <w:rPr>
          <w:sz w:val="23"/>
          <w:szCs w:val="23"/>
        </w:rPr>
        <w:t>This is largely because the development market in Tasmania is geared towards Greenfield development.</w:t>
      </w:r>
    </w:p>
    <w:p w:rsidR="00BA1A5C" w:rsidRPr="004C72E3" w:rsidRDefault="00BA1A5C" w:rsidP="00BA1A5C">
      <w:pPr>
        <w:numPr>
          <w:ilvl w:val="0"/>
          <w:numId w:val="34"/>
        </w:numPr>
        <w:autoSpaceDE w:val="0"/>
        <w:autoSpaceDN w:val="0"/>
        <w:adjustRightInd w:val="0"/>
        <w:spacing w:after="120" w:line="240" w:lineRule="auto"/>
        <w:jc w:val="both"/>
        <w:rPr>
          <w:bCs/>
        </w:rPr>
      </w:pPr>
      <w:r w:rsidRPr="0035032F">
        <w:t xml:space="preserve">Research shows that </w:t>
      </w:r>
      <w:r>
        <w:t>compact</w:t>
      </w:r>
      <w:r w:rsidRPr="0035032F">
        <w:t xml:space="preserve"> and mixed use development patterns create more sustainable travel behaviour. The </w:t>
      </w:r>
      <w:r>
        <w:t xml:space="preserve">wider </w:t>
      </w:r>
      <w:r w:rsidRPr="0035032F">
        <w:t>benefits of more compact development patterns include:</w:t>
      </w:r>
    </w:p>
    <w:p w:rsidR="00BA1A5C" w:rsidRPr="00F97F08" w:rsidRDefault="00BA1A5C" w:rsidP="00BA1A5C">
      <w:pPr>
        <w:pStyle w:val="ListParagraph"/>
        <w:numPr>
          <w:ilvl w:val="0"/>
          <w:numId w:val="34"/>
        </w:numPr>
        <w:spacing w:after="120" w:line="240" w:lineRule="auto"/>
        <w:ind w:left="1074"/>
        <w:jc w:val="both"/>
      </w:pPr>
      <w:r w:rsidRPr="00F97F08">
        <w:t>More efficient use of existing infrastructure</w:t>
      </w:r>
      <w:r>
        <w:t>, including lower</w:t>
      </w:r>
      <w:r w:rsidRPr="0035032F">
        <w:t xml:space="preserve"> infrastructure costs for s</w:t>
      </w:r>
      <w:r>
        <w:t>ervicing new infill lots</w:t>
      </w:r>
      <w:r w:rsidRPr="0035032F">
        <w:t>.</w:t>
      </w:r>
    </w:p>
    <w:p w:rsidR="00BA1A5C" w:rsidRPr="002176D1" w:rsidRDefault="00BA1A5C" w:rsidP="00BA1A5C">
      <w:pPr>
        <w:pStyle w:val="ListParagraph"/>
        <w:numPr>
          <w:ilvl w:val="0"/>
          <w:numId w:val="33"/>
        </w:numPr>
        <w:spacing w:after="120" w:line="240" w:lineRule="auto"/>
        <w:ind w:left="1068" w:hanging="357"/>
        <w:jc w:val="both"/>
      </w:pPr>
      <w:r>
        <w:t xml:space="preserve">Creating </w:t>
      </w:r>
      <w:r w:rsidRPr="00F97F08">
        <w:t xml:space="preserve">greater market demand </w:t>
      </w:r>
      <w:r>
        <w:t>for existing</w:t>
      </w:r>
      <w:r w:rsidRPr="00F97F08">
        <w:t xml:space="preserve"> public transport services.</w:t>
      </w:r>
      <w:r w:rsidRPr="00F97F08">
        <w:rPr>
          <w:sz w:val="18"/>
          <w:szCs w:val="18"/>
        </w:rPr>
        <w:t xml:space="preserve"> </w:t>
      </w:r>
    </w:p>
    <w:p w:rsidR="00BA1A5C" w:rsidRPr="002176D1" w:rsidRDefault="00BA1A5C" w:rsidP="00BA1A5C">
      <w:pPr>
        <w:pStyle w:val="ListParagraph"/>
        <w:numPr>
          <w:ilvl w:val="0"/>
          <w:numId w:val="33"/>
        </w:numPr>
        <w:spacing w:after="120" w:line="240" w:lineRule="auto"/>
        <w:ind w:left="1068" w:hanging="357"/>
        <w:jc w:val="both"/>
      </w:pPr>
      <w:r w:rsidRPr="002176D1">
        <w:t xml:space="preserve">Reducing distances </w:t>
      </w:r>
      <w:r>
        <w:t>between residential areas and trip attractors, thereby making walking and cycling more viable transport options.</w:t>
      </w:r>
    </w:p>
    <w:p w:rsidR="00BA1A5C" w:rsidRPr="00CA3371" w:rsidRDefault="00BA1A5C" w:rsidP="00BA1A5C">
      <w:pPr>
        <w:pStyle w:val="ListParagraph"/>
        <w:numPr>
          <w:ilvl w:val="0"/>
          <w:numId w:val="33"/>
        </w:numPr>
        <w:spacing w:after="120" w:line="240" w:lineRule="auto"/>
        <w:ind w:left="1068" w:hanging="357"/>
        <w:jc w:val="both"/>
      </w:pPr>
      <w:r w:rsidRPr="0035032F">
        <w:t xml:space="preserve">Ability to better cater for demographic change, in terms of providing for </w:t>
      </w:r>
      <w:r>
        <w:t xml:space="preserve">housing </w:t>
      </w:r>
      <w:r w:rsidRPr="0035032F">
        <w:t>diversity.</w:t>
      </w:r>
    </w:p>
    <w:p w:rsidR="00CA3371" w:rsidRDefault="00AF05E5" w:rsidP="00AF05E5">
      <w:pPr>
        <w:numPr>
          <w:ilvl w:val="0"/>
          <w:numId w:val="33"/>
        </w:numPr>
        <w:spacing w:after="120" w:line="240" w:lineRule="auto"/>
        <w:jc w:val="both"/>
      </w:pPr>
      <w:r>
        <w:t xml:space="preserve">Research undertaken in other capital cities indicates that the cost of constructing infill dwellings is higher than the cost of constructing a Greenfield dwelling. These </w:t>
      </w:r>
      <w:r w:rsidR="00D53221">
        <w:t>differences will need to be overcome if infill development is to become a viable option in Greater Hobart. The barriers to infill development will need to be closely explored by both State and local Government.</w:t>
      </w:r>
    </w:p>
    <w:p w:rsidR="004C72E3" w:rsidRPr="00BA1A5C" w:rsidRDefault="00CA3371" w:rsidP="00CA3371">
      <w:pPr>
        <w:numPr>
          <w:ilvl w:val="0"/>
          <w:numId w:val="33"/>
        </w:numPr>
        <w:spacing w:after="120" w:line="240" w:lineRule="auto"/>
        <w:jc w:val="both"/>
      </w:pPr>
      <w:r w:rsidRPr="00CA3371">
        <w:rPr>
          <w:bCs/>
        </w:rPr>
        <w:t>Infill development opportunities provide</w:t>
      </w:r>
      <w:r w:rsidR="004C72E3" w:rsidRPr="00CA3371">
        <w:rPr>
          <w:bCs/>
        </w:rPr>
        <w:t xml:space="preserve"> Glenorchy</w:t>
      </w:r>
      <w:r>
        <w:rPr>
          <w:bCs/>
        </w:rPr>
        <w:t xml:space="preserve"> and Hobart</w:t>
      </w:r>
      <w:r w:rsidR="004C72E3" w:rsidRPr="00CA3371">
        <w:rPr>
          <w:bCs/>
        </w:rPr>
        <w:t xml:space="preserve"> an opportunity to substantially grow </w:t>
      </w:r>
      <w:r>
        <w:rPr>
          <w:bCs/>
        </w:rPr>
        <w:t xml:space="preserve">their </w:t>
      </w:r>
      <w:r w:rsidR="004C72E3" w:rsidRPr="00CA3371">
        <w:rPr>
          <w:bCs/>
        </w:rPr>
        <w:t>population</w:t>
      </w:r>
      <w:r>
        <w:rPr>
          <w:bCs/>
        </w:rPr>
        <w:t xml:space="preserve">s along </w:t>
      </w:r>
      <w:r w:rsidR="00AF05E5">
        <w:rPr>
          <w:bCs/>
        </w:rPr>
        <w:t xml:space="preserve">high frequency </w:t>
      </w:r>
      <w:r>
        <w:rPr>
          <w:bCs/>
        </w:rPr>
        <w:t>public transport corridors</w:t>
      </w:r>
      <w:r w:rsidR="004C72E3" w:rsidRPr="00CA3371">
        <w:rPr>
          <w:bCs/>
        </w:rPr>
        <w:t>. Strong planning and policy changes are required to shift population growth from the outer areas of Greater Hobart to inner areas.</w:t>
      </w:r>
    </w:p>
    <w:p w:rsidR="00E62426" w:rsidRPr="00E62426" w:rsidRDefault="00CA3371" w:rsidP="00E62426">
      <w:pPr>
        <w:numPr>
          <w:ilvl w:val="0"/>
          <w:numId w:val="33"/>
        </w:numPr>
        <w:spacing w:after="120" w:line="240" w:lineRule="auto"/>
        <w:jc w:val="both"/>
      </w:pPr>
      <w:r w:rsidRPr="00CA3371">
        <w:rPr>
          <w:b/>
          <w:iCs/>
        </w:rPr>
        <w:t>Strategic planning to support infill development:</w:t>
      </w:r>
      <w:r>
        <w:rPr>
          <w:b/>
          <w:i/>
          <w:iCs/>
        </w:rPr>
        <w:t xml:space="preserve"> </w:t>
      </w:r>
      <w:r w:rsidRPr="00CA3371">
        <w:rPr>
          <w:iCs/>
        </w:rPr>
        <w:t xml:space="preserve">Strategic planning documents are in place </w:t>
      </w:r>
      <w:r>
        <w:rPr>
          <w:iCs/>
        </w:rPr>
        <w:t xml:space="preserve">to guide future settlement patterns within Greater Hobart. </w:t>
      </w:r>
      <w:r w:rsidRPr="00CA3371">
        <w:rPr>
          <w:iCs/>
        </w:rPr>
        <w:t xml:space="preserve">The </w:t>
      </w:r>
      <w:r w:rsidRPr="00CA3371">
        <w:rPr>
          <w:i/>
          <w:iCs/>
        </w:rPr>
        <w:t>Southern Tasmania Regional Land Use Strategy</w:t>
      </w:r>
      <w:r>
        <w:t xml:space="preserve"> reflects the concept of Transit Corridors and </w:t>
      </w:r>
      <w:r>
        <w:lastRenderedPageBreak/>
        <w:t>i</w:t>
      </w:r>
      <w:r w:rsidRPr="007114F5">
        <w:t xml:space="preserve">ncreasing residential densities </w:t>
      </w:r>
      <w:r>
        <w:t xml:space="preserve">in inner urban areas. The challenge will be in </w:t>
      </w:r>
      <w:r w:rsidR="00AF05E5">
        <w:t>ensuring this strategy is implemented</w:t>
      </w:r>
      <w:r>
        <w:t>.</w:t>
      </w:r>
    </w:p>
    <w:p w:rsidR="00B42571" w:rsidRDefault="00B42571" w:rsidP="00CF7106">
      <w:pPr>
        <w:pStyle w:val="Heading1"/>
      </w:pPr>
      <w:bookmarkStart w:id="1" w:name="_Toc326919236"/>
      <w:r>
        <w:t>Transport and land use planning</w:t>
      </w:r>
      <w:bookmarkEnd w:id="1"/>
    </w:p>
    <w:p w:rsidR="00B42571" w:rsidRDefault="00B42571" w:rsidP="00CF7106">
      <w:pPr>
        <w:spacing w:after="120" w:line="240" w:lineRule="auto"/>
        <w:jc w:val="both"/>
      </w:pPr>
      <w:r>
        <w:t xml:space="preserve">Land use planning directly affects both the demand for travel and mode of travel. To increase the use of public transport, Transit Corridors should be located as close as possible to higher density residential areas and they should link activity centres. This maximises the number of people able to easily access public transport services and increases the attractiveness of the service through its capacity to access popular trip attractors. </w:t>
      </w:r>
    </w:p>
    <w:p w:rsidR="00B42571" w:rsidRDefault="004C72E3" w:rsidP="00CF7106">
      <w:pPr>
        <w:pStyle w:val="Heading1"/>
      </w:pPr>
      <w:bookmarkStart w:id="2" w:name="_Toc326919237"/>
      <w:r>
        <w:t xml:space="preserve">Development </w:t>
      </w:r>
      <w:r w:rsidR="00B42571">
        <w:t>patterns</w:t>
      </w:r>
      <w:bookmarkEnd w:id="2"/>
    </w:p>
    <w:p w:rsidR="00B42571" w:rsidRPr="008D71D3" w:rsidRDefault="00B42571" w:rsidP="00AA2735">
      <w:pPr>
        <w:spacing w:after="120" w:line="240" w:lineRule="auto"/>
        <w:jc w:val="both"/>
      </w:pPr>
      <w:r>
        <w:t xml:space="preserve">Historically, </w:t>
      </w:r>
      <w:r w:rsidRPr="008D71D3">
        <w:t>public transport infrastructure has been a strong force in shaping</w:t>
      </w:r>
      <w:r>
        <w:t xml:space="preserve"> Australian </w:t>
      </w:r>
      <w:r w:rsidRPr="008D71D3">
        <w:t>cities, largely because development</w:t>
      </w:r>
      <w:r>
        <w:t xml:space="preserve"> followed train and tram lines. </w:t>
      </w:r>
      <w:r w:rsidRPr="008D71D3">
        <w:t>However, as</w:t>
      </w:r>
      <w:r>
        <w:t xml:space="preserve"> </w:t>
      </w:r>
      <w:r w:rsidRPr="008D71D3">
        <w:t xml:space="preserve">the car became more prevalent and affordable in the 1950s, </w:t>
      </w:r>
      <w:r>
        <w:t xml:space="preserve">development patterns changed, resulting in housing estates being created in outer areas as people were no longer reliant on public transport to travel to work. </w:t>
      </w:r>
    </w:p>
    <w:p w:rsidR="00B42571" w:rsidRDefault="00B42571" w:rsidP="0048797C">
      <w:pPr>
        <w:autoSpaceDE w:val="0"/>
        <w:autoSpaceDN w:val="0"/>
        <w:adjustRightInd w:val="0"/>
        <w:spacing w:after="120" w:line="240" w:lineRule="auto"/>
        <w:jc w:val="both"/>
      </w:pPr>
      <w:r>
        <w:t xml:space="preserve">Greater Hobart’s settlement pattern is strongly influenced by its environmental setting, with the Derwent River, Mount Wellington and Meehan Range restricting the location of urban development and transport networks. </w:t>
      </w:r>
      <w:r w:rsidRPr="00A50230">
        <w:t xml:space="preserve">This has resulted in </w:t>
      </w:r>
      <w:r>
        <w:t xml:space="preserve">a highly </w:t>
      </w:r>
      <w:r w:rsidRPr="00A50230">
        <w:t>dispersed settlement pattern</w:t>
      </w:r>
      <w:r>
        <w:t xml:space="preserve"> and limited opportunities for Greenfield expansion in the inner urban areas of Hobart and Glenorchy. On average, Greater Hobart has an average population density of just 12 people per hectare, which is low for Australian cities </w:t>
      </w:r>
      <w:r w:rsidR="00D25289">
        <w:t xml:space="preserve">(which, in turn, are low by </w:t>
      </w:r>
      <w:r>
        <w:t>international standards</w:t>
      </w:r>
      <w:r w:rsidR="00D25289">
        <w:t>)</w:t>
      </w:r>
      <w:r>
        <w:t>.</w:t>
      </w:r>
    </w:p>
    <w:p w:rsidR="00B42571" w:rsidRDefault="00B42571" w:rsidP="0048797C">
      <w:pPr>
        <w:autoSpaceDE w:val="0"/>
        <w:autoSpaceDN w:val="0"/>
        <w:adjustRightInd w:val="0"/>
        <w:spacing w:after="120" w:line="240" w:lineRule="auto"/>
        <w:jc w:val="both"/>
      </w:pPr>
      <w:r>
        <w:t>Th</w:t>
      </w:r>
      <w:r w:rsidRPr="00A50230">
        <w:t>ere has been a strong trend toward housing and population growth in outer urban areas such as Kingston/Blackmans Bay, Margate, outer urban areas of Clarence, Sorell and Brighton</w:t>
      </w:r>
      <w:r>
        <w:t>,</w:t>
      </w:r>
      <w:r w:rsidRPr="00A50230">
        <w:t xml:space="preserve"> based on choice and housing affordability. </w:t>
      </w:r>
      <w:r>
        <w:t>The majority of affordable housing stock is located on the urban fringe in broad-hectare public housing estates.</w:t>
      </w:r>
    </w:p>
    <w:p w:rsidR="00B42571" w:rsidRPr="00A50230" w:rsidRDefault="00B42571" w:rsidP="0048797C">
      <w:pPr>
        <w:autoSpaceDE w:val="0"/>
        <w:autoSpaceDN w:val="0"/>
        <w:adjustRightInd w:val="0"/>
        <w:spacing w:after="120" w:line="240" w:lineRule="auto"/>
        <w:jc w:val="both"/>
      </w:pPr>
      <w:r w:rsidRPr="00A50230">
        <w:t xml:space="preserve">The pattern of </w:t>
      </w:r>
      <w:r>
        <w:t xml:space="preserve">residential </w:t>
      </w:r>
      <w:r w:rsidRPr="00A50230">
        <w:t>development in Greater Hobart has a significant impact on how the transport system is used:</w:t>
      </w:r>
    </w:p>
    <w:p w:rsidR="00B42571" w:rsidRPr="00A50230" w:rsidRDefault="00B42571" w:rsidP="001A7C83">
      <w:pPr>
        <w:pStyle w:val="ListParagraph"/>
        <w:numPr>
          <w:ilvl w:val="0"/>
          <w:numId w:val="10"/>
        </w:numPr>
        <w:autoSpaceDE w:val="0"/>
        <w:autoSpaceDN w:val="0"/>
        <w:adjustRightInd w:val="0"/>
        <w:spacing w:after="120" w:line="240" w:lineRule="auto"/>
        <w:jc w:val="both"/>
      </w:pPr>
      <w:r w:rsidRPr="00A50230">
        <w:t>Limited local employment opportunities and essential services in outer urban areas</w:t>
      </w:r>
      <w:r>
        <w:t>,</w:t>
      </w:r>
      <w:r w:rsidRPr="00A50230">
        <w:t xml:space="preserve"> meaning people travel more and further to go to work, school or shop</w:t>
      </w:r>
      <w:r>
        <w:t>s</w:t>
      </w:r>
      <w:r w:rsidRPr="00A50230">
        <w:t>.</w:t>
      </w:r>
    </w:p>
    <w:p w:rsidR="00B42571" w:rsidRPr="00A50230" w:rsidRDefault="00B42571" w:rsidP="001A7C83">
      <w:pPr>
        <w:pStyle w:val="ListParagraph"/>
        <w:numPr>
          <w:ilvl w:val="0"/>
          <w:numId w:val="10"/>
        </w:numPr>
        <w:autoSpaceDE w:val="0"/>
        <w:autoSpaceDN w:val="0"/>
        <w:adjustRightInd w:val="0"/>
        <w:spacing w:after="120" w:line="240" w:lineRule="auto"/>
        <w:jc w:val="both"/>
      </w:pPr>
      <w:r w:rsidRPr="00A50230">
        <w:t xml:space="preserve">A high reliance on cars </w:t>
      </w:r>
      <w:r>
        <w:t>for private travel</w:t>
      </w:r>
      <w:r w:rsidR="00D25289">
        <w:t>,</w:t>
      </w:r>
      <w:r>
        <w:t xml:space="preserve"> resulting in a high</w:t>
      </w:r>
      <w:r w:rsidRPr="00A50230">
        <w:t xml:space="preserve"> number of car trips.</w:t>
      </w:r>
    </w:p>
    <w:p w:rsidR="00B42571" w:rsidRPr="00A50230" w:rsidRDefault="00B42571" w:rsidP="001A7C83">
      <w:pPr>
        <w:pStyle w:val="ListParagraph"/>
        <w:numPr>
          <w:ilvl w:val="0"/>
          <w:numId w:val="10"/>
        </w:numPr>
        <w:autoSpaceDE w:val="0"/>
        <w:autoSpaceDN w:val="0"/>
        <w:adjustRightInd w:val="0"/>
        <w:spacing w:after="120" w:line="240" w:lineRule="auto"/>
        <w:jc w:val="both"/>
      </w:pPr>
      <w:r w:rsidRPr="00A50230">
        <w:t xml:space="preserve">Difficulty in providing </w:t>
      </w:r>
      <w:r w:rsidR="00D25289">
        <w:t xml:space="preserve">effective </w:t>
      </w:r>
      <w:r w:rsidRPr="00A50230">
        <w:t>public transport services</w:t>
      </w:r>
      <w:r>
        <w:t>,</w:t>
      </w:r>
      <w:r w:rsidRPr="00A50230">
        <w:t xml:space="preserve"> as fewer houses are distributed across greater distances than in inner urban areas. </w:t>
      </w:r>
    </w:p>
    <w:p w:rsidR="00B42571" w:rsidRDefault="00B42571" w:rsidP="0048797C">
      <w:pPr>
        <w:autoSpaceDE w:val="0"/>
        <w:autoSpaceDN w:val="0"/>
        <w:adjustRightInd w:val="0"/>
        <w:spacing w:after="120" w:line="240" w:lineRule="auto"/>
        <w:jc w:val="both"/>
      </w:pPr>
      <w:r w:rsidRPr="00A50230">
        <w:t>Low density urban areas often have high levels of car ownership and use, due to the spatial diversity of travel patterns. In comparison</w:t>
      </w:r>
      <w:r>
        <w:t>,</w:t>
      </w:r>
      <w:r w:rsidRPr="00A50230">
        <w:t xml:space="preserve"> more dense urban areas often have high levels of alternative transport </w:t>
      </w:r>
      <w:r>
        <w:t xml:space="preserve">use </w:t>
      </w:r>
      <w:r w:rsidRPr="00A50230">
        <w:t xml:space="preserve">such as public transport, walking and cycling </w:t>
      </w:r>
      <w:r>
        <w:t>because</w:t>
      </w:r>
      <w:r w:rsidRPr="00A50230">
        <w:t xml:space="preserve"> origin-destination points are close together.</w:t>
      </w:r>
    </w:p>
    <w:p w:rsidR="00B42571" w:rsidRDefault="00B42571" w:rsidP="0048797C">
      <w:pPr>
        <w:autoSpaceDE w:val="0"/>
        <w:autoSpaceDN w:val="0"/>
        <w:adjustRightInd w:val="0"/>
        <w:spacing w:after="120" w:line="240" w:lineRule="auto"/>
        <w:jc w:val="both"/>
        <w:rPr>
          <w:color w:val="000000"/>
        </w:rPr>
      </w:pPr>
      <w:r>
        <w:rPr>
          <w:color w:val="000000"/>
        </w:rPr>
        <w:t>P</w:t>
      </w:r>
      <w:r w:rsidRPr="0024550C">
        <w:rPr>
          <w:color w:val="000000"/>
        </w:rPr>
        <w:t xml:space="preserve">roviding </w:t>
      </w:r>
      <w:r>
        <w:rPr>
          <w:color w:val="000000"/>
        </w:rPr>
        <w:t xml:space="preserve">adequate area </w:t>
      </w:r>
      <w:r w:rsidRPr="0024550C">
        <w:rPr>
          <w:color w:val="000000"/>
        </w:rPr>
        <w:t xml:space="preserve">coverage, </w:t>
      </w:r>
      <w:r>
        <w:rPr>
          <w:color w:val="000000"/>
        </w:rPr>
        <w:t xml:space="preserve">travel </w:t>
      </w:r>
      <w:r w:rsidRPr="0024550C">
        <w:rPr>
          <w:color w:val="000000"/>
        </w:rPr>
        <w:t xml:space="preserve">speed and </w:t>
      </w:r>
      <w:r>
        <w:rPr>
          <w:color w:val="000000"/>
        </w:rPr>
        <w:t xml:space="preserve">service </w:t>
      </w:r>
      <w:r w:rsidRPr="0024550C">
        <w:rPr>
          <w:color w:val="000000"/>
        </w:rPr>
        <w:t>frequency</w:t>
      </w:r>
      <w:r>
        <w:rPr>
          <w:color w:val="000000"/>
        </w:rPr>
        <w:t xml:space="preserve"> for public transport </w:t>
      </w:r>
      <w:r w:rsidRPr="0024550C">
        <w:rPr>
          <w:color w:val="000000"/>
        </w:rPr>
        <w:t xml:space="preserve">is </w:t>
      </w:r>
      <w:r>
        <w:rPr>
          <w:color w:val="000000"/>
        </w:rPr>
        <w:t xml:space="preserve">a challenge in a low </w:t>
      </w:r>
      <w:r w:rsidRPr="0024550C">
        <w:rPr>
          <w:color w:val="000000"/>
        </w:rPr>
        <w:t>density city such as Hobart.</w:t>
      </w:r>
      <w:r>
        <w:rPr>
          <w:color w:val="000000"/>
        </w:rPr>
        <w:t xml:space="preserve"> The low </w:t>
      </w:r>
      <w:r w:rsidRPr="0024550C">
        <w:rPr>
          <w:color w:val="000000"/>
        </w:rPr>
        <w:t xml:space="preserve">density </w:t>
      </w:r>
      <w:r>
        <w:rPr>
          <w:color w:val="000000"/>
        </w:rPr>
        <w:t>pattern of development</w:t>
      </w:r>
      <w:r w:rsidRPr="0024550C">
        <w:rPr>
          <w:color w:val="000000"/>
        </w:rPr>
        <w:t xml:space="preserve"> has resulted in bus routes being planned, generally, on a low-frequency, high-penetration basis. </w:t>
      </w:r>
      <w:r>
        <w:rPr>
          <w:color w:val="000000"/>
        </w:rPr>
        <w:t>This means that</w:t>
      </w:r>
      <w:r w:rsidRPr="0024550C">
        <w:rPr>
          <w:color w:val="000000"/>
        </w:rPr>
        <w:t xml:space="preserve"> bus</w:t>
      </w:r>
      <w:r>
        <w:rPr>
          <w:color w:val="000000"/>
        </w:rPr>
        <w:t xml:space="preserve"> routes are often very long</w:t>
      </w:r>
      <w:r w:rsidR="00D25289">
        <w:rPr>
          <w:color w:val="000000"/>
        </w:rPr>
        <w:t>,</w:t>
      </w:r>
      <w:r>
        <w:rPr>
          <w:color w:val="000000"/>
        </w:rPr>
        <w:t xml:space="preserve"> as they </w:t>
      </w:r>
      <w:r w:rsidR="00D25289">
        <w:rPr>
          <w:color w:val="000000"/>
        </w:rPr>
        <w:t xml:space="preserve">must </w:t>
      </w:r>
      <w:r>
        <w:rPr>
          <w:color w:val="000000"/>
        </w:rPr>
        <w:t xml:space="preserve">service </w:t>
      </w:r>
      <w:r w:rsidRPr="0024550C">
        <w:rPr>
          <w:color w:val="000000"/>
        </w:rPr>
        <w:t>widely spread-out suburbs</w:t>
      </w:r>
      <w:r>
        <w:rPr>
          <w:color w:val="000000"/>
        </w:rPr>
        <w:t xml:space="preserve"> and therefore have longer travel times to reach the final destination than cars</w:t>
      </w:r>
      <w:r w:rsidRPr="0024550C">
        <w:rPr>
          <w:color w:val="000000"/>
        </w:rPr>
        <w:t xml:space="preserve">. </w:t>
      </w:r>
      <w:r>
        <w:rPr>
          <w:color w:val="000000"/>
        </w:rPr>
        <w:t xml:space="preserve">Although there are several express bus services which </w:t>
      </w:r>
      <w:r w:rsidRPr="0024550C">
        <w:rPr>
          <w:color w:val="000000"/>
        </w:rPr>
        <w:t>generally enjoy relatively high levels of patronage</w:t>
      </w:r>
      <w:r>
        <w:rPr>
          <w:color w:val="000000"/>
        </w:rPr>
        <w:t>, these services are not particularly frequent</w:t>
      </w:r>
      <w:r w:rsidRPr="0024550C">
        <w:rPr>
          <w:color w:val="000000"/>
        </w:rPr>
        <w:t xml:space="preserve">. </w:t>
      </w:r>
      <w:r w:rsidRPr="009E75AB">
        <w:rPr>
          <w:color w:val="000000"/>
        </w:rPr>
        <w:t xml:space="preserve">The result is often poorer service </w:t>
      </w:r>
      <w:r w:rsidRPr="009E75AB">
        <w:rPr>
          <w:color w:val="000000"/>
        </w:rPr>
        <w:lastRenderedPageBreak/>
        <w:t>in outer suburbs, which can be problematic as outer areas tend to contain lower socio-economic groups who are more likely to be dependent on public transport.</w:t>
      </w:r>
    </w:p>
    <w:p w:rsidR="00B42571" w:rsidRDefault="00B42571" w:rsidP="007E55B3">
      <w:pPr>
        <w:pStyle w:val="Heading2"/>
      </w:pPr>
      <w:bookmarkStart w:id="3" w:name="_Toc326919238"/>
      <w:bookmarkStart w:id="4" w:name="OLE_LINK57"/>
      <w:r>
        <w:t>Separation of land uses</w:t>
      </w:r>
      <w:bookmarkEnd w:id="3"/>
    </w:p>
    <w:p w:rsidR="00B42571" w:rsidRDefault="00B42571" w:rsidP="004C72E3">
      <w:pPr>
        <w:autoSpaceDE w:val="0"/>
        <w:autoSpaceDN w:val="0"/>
        <w:adjustRightInd w:val="0"/>
        <w:spacing w:after="120" w:line="240" w:lineRule="auto"/>
        <w:jc w:val="both"/>
        <w:rPr>
          <w:sz w:val="23"/>
          <w:szCs w:val="23"/>
        </w:rPr>
      </w:pPr>
      <w:r>
        <w:rPr>
          <w:sz w:val="23"/>
          <w:szCs w:val="23"/>
        </w:rPr>
        <w:t xml:space="preserve">Development patterns are also closely linked to the shift in planning policy towards the separation of land uses, which occurred during the mid twentieth century. Older inner urban areas developed in the late 1800s and early 1900s generally have higher densities, a mixture of housing types and contain more mixed use developments. In such areas different forms of land use were located together as the main form of transport was walking. </w:t>
      </w:r>
    </w:p>
    <w:p w:rsidR="00B42571" w:rsidRDefault="00B42571" w:rsidP="004C72E3">
      <w:pPr>
        <w:autoSpaceDE w:val="0"/>
        <w:autoSpaceDN w:val="0"/>
        <w:adjustRightInd w:val="0"/>
        <w:spacing w:after="120" w:line="240" w:lineRule="auto"/>
        <w:jc w:val="both"/>
        <w:rPr>
          <w:sz w:val="23"/>
          <w:szCs w:val="23"/>
        </w:rPr>
      </w:pPr>
      <w:r>
        <w:rPr>
          <w:sz w:val="23"/>
          <w:szCs w:val="23"/>
        </w:rPr>
        <w:t>With the rise of the car, land use policy changed to create single use zoning, which resulted in outer urban areas having separated land uses. Outer urban areas are dominated by single detached dwellings, lower densities and lack activity centres. Subsequently, most people living in outer urban areas are more car-dependant, as they live distant from places of employment, shopping and entertainment areas.</w:t>
      </w:r>
    </w:p>
    <w:bookmarkEnd w:id="4"/>
    <w:p w:rsidR="00B42571" w:rsidRDefault="00B42571" w:rsidP="004C72E3">
      <w:pPr>
        <w:autoSpaceDE w:val="0"/>
        <w:autoSpaceDN w:val="0"/>
        <w:adjustRightInd w:val="0"/>
        <w:spacing w:after="120" w:line="240" w:lineRule="auto"/>
        <w:jc w:val="both"/>
        <w:rPr>
          <w:sz w:val="23"/>
          <w:szCs w:val="23"/>
        </w:rPr>
      </w:pPr>
      <w:r>
        <w:t>In Australia over the last two decades there has been a policy shift back towards encouraging mixed use development because of the benefits it offers in terms of transport and liveability.</w:t>
      </w:r>
      <w:r w:rsidRPr="003254B7">
        <w:rPr>
          <w:sz w:val="23"/>
          <w:szCs w:val="23"/>
        </w:rPr>
        <w:t xml:space="preserve"> </w:t>
      </w:r>
    </w:p>
    <w:p w:rsidR="00B42571" w:rsidRDefault="00B42571" w:rsidP="00AA51EF">
      <w:pPr>
        <w:pStyle w:val="Heading1"/>
      </w:pPr>
      <w:bookmarkStart w:id="5" w:name="_Toc326919239"/>
      <w:r>
        <w:t>Land use along the Transit Corridor</w:t>
      </w:r>
      <w:bookmarkEnd w:id="5"/>
    </w:p>
    <w:p w:rsidR="00B42571" w:rsidRPr="00661C5D" w:rsidRDefault="00B42571" w:rsidP="00AA51EF">
      <w:pPr>
        <w:pStyle w:val="Heading2"/>
      </w:pPr>
      <w:bookmarkStart w:id="6" w:name="_Toc326919240"/>
      <w:r>
        <w:t>Residential</w:t>
      </w:r>
      <w:r w:rsidRPr="00661C5D">
        <w:t xml:space="preserve"> density</w:t>
      </w:r>
      <w:bookmarkEnd w:id="6"/>
    </w:p>
    <w:p w:rsidR="00B42571" w:rsidRPr="00661C5D" w:rsidRDefault="00B42571" w:rsidP="00AA51EF">
      <w:pPr>
        <w:spacing w:after="120" w:line="240" w:lineRule="auto"/>
        <w:jc w:val="both"/>
      </w:pPr>
      <w:r w:rsidRPr="00661C5D">
        <w:t>Land use planning p</w:t>
      </w:r>
      <w:r>
        <w:t>olicy will need to support the Transit Corridor</w:t>
      </w:r>
      <w:r w:rsidRPr="00661C5D">
        <w:t xml:space="preserve"> </w:t>
      </w:r>
      <w:r>
        <w:t>by</w:t>
      </w:r>
      <w:r w:rsidRPr="00661C5D">
        <w:t xml:space="preserve"> allowing</w:t>
      </w:r>
      <w:r>
        <w:t xml:space="preserve"> increased residential density</w:t>
      </w:r>
      <w:r w:rsidRPr="00661C5D">
        <w:t xml:space="preserve"> adjacent to </w:t>
      </w:r>
      <w:r>
        <w:t>the Corridor, which should improve</w:t>
      </w:r>
      <w:r w:rsidRPr="00661C5D">
        <w:t xml:space="preserve"> </w:t>
      </w:r>
      <w:r>
        <w:t>public transport demand</w:t>
      </w:r>
      <w:r w:rsidRPr="00661C5D">
        <w:t xml:space="preserve">. </w:t>
      </w:r>
    </w:p>
    <w:p w:rsidR="00B42571" w:rsidRPr="00661C5D" w:rsidRDefault="00B42571" w:rsidP="00AA51EF">
      <w:pPr>
        <w:pStyle w:val="Texttoreplace"/>
        <w:spacing w:after="120" w:line="240" w:lineRule="auto"/>
        <w:jc w:val="both"/>
        <w:rPr>
          <w:rFonts w:cs="Arial"/>
          <w:i w:val="0"/>
          <w:iCs w:val="0"/>
          <w:sz w:val="22"/>
          <w:szCs w:val="22"/>
          <w:lang w:val="en-GB"/>
        </w:rPr>
      </w:pPr>
      <w:r w:rsidRPr="00661C5D">
        <w:rPr>
          <w:rFonts w:cs="Arial"/>
          <w:i w:val="0"/>
          <w:iCs w:val="0"/>
          <w:sz w:val="22"/>
          <w:szCs w:val="22"/>
          <w:lang w:val="en-GB"/>
        </w:rPr>
        <w:t>At present approximately 85 percent of new dwellings in Greater Hobart occur through Greenfield development, at a relatively low density of seven to ten dwellings per hectare (STCA 2011). This is well below the agreed national standard for effective delivery of public transport services</w:t>
      </w:r>
      <w:r>
        <w:rPr>
          <w:rFonts w:cs="Arial"/>
          <w:i w:val="0"/>
          <w:iCs w:val="0"/>
          <w:sz w:val="22"/>
          <w:szCs w:val="22"/>
          <w:lang w:val="en-GB"/>
        </w:rPr>
        <w:t>,</w:t>
      </w:r>
      <w:r w:rsidRPr="00661C5D">
        <w:rPr>
          <w:rFonts w:cs="Arial"/>
          <w:i w:val="0"/>
          <w:iCs w:val="0"/>
          <w:sz w:val="22"/>
          <w:szCs w:val="22"/>
          <w:lang w:val="en-GB"/>
        </w:rPr>
        <w:t xml:space="preserve"> which is a minimum of 15 dwellings per hectare.</w:t>
      </w:r>
    </w:p>
    <w:p w:rsidR="00B42571" w:rsidRPr="00661C5D" w:rsidRDefault="00B42571" w:rsidP="00AA51EF">
      <w:pPr>
        <w:autoSpaceDE w:val="0"/>
        <w:autoSpaceDN w:val="0"/>
        <w:adjustRightInd w:val="0"/>
        <w:spacing w:after="120" w:line="240" w:lineRule="auto"/>
        <w:jc w:val="both"/>
      </w:pPr>
      <w:r w:rsidRPr="00661C5D">
        <w:t xml:space="preserve">Residential areas along the </w:t>
      </w:r>
      <w:r>
        <w:t>Transit</w:t>
      </w:r>
      <w:r w:rsidRPr="00661C5D">
        <w:t xml:space="preserve"> Corridor already contain established medium to higher density residential areas in the Greater Hobart context. These areas are West Moonah, New Town and North Hobart, which contain a population density of 20-30 people per hectare. Areas north of Montrose have a lower density at around 10-20 people per hectare. The average population density in Greater Hobart is </w:t>
      </w:r>
      <w:bookmarkStart w:id="7" w:name="OLE_LINK40"/>
      <w:bookmarkStart w:id="8" w:name="OLE_LINK41"/>
      <w:r w:rsidRPr="00661C5D">
        <w:t>12 people per hectare</w:t>
      </w:r>
      <w:bookmarkEnd w:id="7"/>
      <w:bookmarkEnd w:id="8"/>
      <w:r w:rsidRPr="00661C5D">
        <w:t>.</w:t>
      </w:r>
    </w:p>
    <w:p w:rsidR="00B42571" w:rsidRPr="00661C5D" w:rsidRDefault="00B42571" w:rsidP="00AA51EF">
      <w:pPr>
        <w:spacing w:after="120" w:line="240" w:lineRule="auto"/>
        <w:jc w:val="both"/>
        <w:rPr>
          <w:color w:val="000000"/>
        </w:rPr>
      </w:pPr>
      <w:r w:rsidRPr="00661C5D">
        <w:rPr>
          <w:color w:val="000000"/>
        </w:rPr>
        <w:t>Often there is community concern regarding increased residential densities</w:t>
      </w:r>
      <w:r>
        <w:rPr>
          <w:color w:val="000000"/>
        </w:rPr>
        <w:t>,</w:t>
      </w:r>
      <w:r w:rsidRPr="00661C5D">
        <w:rPr>
          <w:color w:val="000000"/>
        </w:rPr>
        <w:t xml:space="preserve"> as the</w:t>
      </w:r>
      <w:r>
        <w:rPr>
          <w:color w:val="000000"/>
        </w:rPr>
        <w:t>re is a perception that</w:t>
      </w:r>
      <w:r w:rsidRPr="00661C5D">
        <w:rPr>
          <w:color w:val="000000"/>
        </w:rPr>
        <w:t xml:space="preserve"> </w:t>
      </w:r>
      <w:r>
        <w:rPr>
          <w:color w:val="000000"/>
        </w:rPr>
        <w:t xml:space="preserve">density affects the amenity and </w:t>
      </w:r>
      <w:r w:rsidRPr="00661C5D">
        <w:rPr>
          <w:color w:val="000000"/>
        </w:rPr>
        <w:t>local character of a</w:t>
      </w:r>
      <w:r>
        <w:rPr>
          <w:color w:val="000000"/>
        </w:rPr>
        <w:t>n</w:t>
      </w:r>
      <w:r w:rsidRPr="00661C5D">
        <w:rPr>
          <w:color w:val="000000"/>
        </w:rPr>
        <w:t xml:space="preserve"> </w:t>
      </w:r>
      <w:r>
        <w:rPr>
          <w:color w:val="000000"/>
        </w:rPr>
        <w:t>area</w:t>
      </w:r>
      <w:r w:rsidRPr="00661C5D">
        <w:rPr>
          <w:color w:val="000000"/>
        </w:rPr>
        <w:t xml:space="preserve">. The </w:t>
      </w:r>
      <w:r w:rsidRPr="00661C5D">
        <w:rPr>
          <w:i/>
          <w:iCs/>
          <w:color w:val="000000"/>
        </w:rPr>
        <w:t>Southern Regional Land Use Strategy</w:t>
      </w:r>
      <w:r w:rsidRPr="00661C5D">
        <w:rPr>
          <w:color w:val="000000"/>
        </w:rPr>
        <w:t xml:space="preserve"> has recommended 25 dwellings (gross net density) per hectare as an appropriate scale and intens</w:t>
      </w:r>
      <w:r>
        <w:rPr>
          <w:color w:val="000000"/>
        </w:rPr>
        <w:t>ity of development adjacent to Transit C</w:t>
      </w:r>
      <w:r w:rsidRPr="00661C5D">
        <w:rPr>
          <w:color w:val="000000"/>
        </w:rPr>
        <w:t>orridors and principal and primary</w:t>
      </w:r>
      <w:r>
        <w:rPr>
          <w:color w:val="000000"/>
        </w:rPr>
        <w:t xml:space="preserve"> activity centres. The typical</w:t>
      </w:r>
      <w:r w:rsidRPr="00661C5D">
        <w:rPr>
          <w:color w:val="000000"/>
        </w:rPr>
        <w:t xml:space="preserve"> built form of this scale is terrace housing</w:t>
      </w:r>
      <w:r>
        <w:rPr>
          <w:color w:val="000000"/>
        </w:rPr>
        <w:t>,</w:t>
      </w:r>
      <w:r w:rsidRPr="00661C5D">
        <w:rPr>
          <w:color w:val="000000"/>
        </w:rPr>
        <w:t xml:space="preserve"> mixed with residentia</w:t>
      </w:r>
      <w:r>
        <w:rPr>
          <w:color w:val="000000"/>
        </w:rPr>
        <w:t>l multi-apartment buildings</w:t>
      </w:r>
      <w:r w:rsidRPr="00661C5D">
        <w:rPr>
          <w:color w:val="000000"/>
        </w:rPr>
        <w:t xml:space="preserve"> of generally three storeys. </w:t>
      </w:r>
    </w:p>
    <w:p w:rsidR="00B42571" w:rsidRPr="00661C5D" w:rsidRDefault="00B42571" w:rsidP="00AA51EF">
      <w:pPr>
        <w:spacing w:after="120" w:line="240" w:lineRule="auto"/>
        <w:jc w:val="both"/>
        <w:rPr>
          <w:color w:val="000000"/>
        </w:rPr>
      </w:pPr>
      <w:r w:rsidRPr="00661C5D">
        <w:rPr>
          <w:color w:val="000000"/>
        </w:rPr>
        <w:t xml:space="preserve">Examples of similar densities in Hobart include </w:t>
      </w:r>
      <w:r>
        <w:rPr>
          <w:color w:val="000000"/>
        </w:rPr>
        <w:t>unit</w:t>
      </w:r>
      <w:r w:rsidRPr="00661C5D">
        <w:rPr>
          <w:color w:val="000000"/>
        </w:rPr>
        <w:t xml:space="preserve"> </w:t>
      </w:r>
      <w:r>
        <w:rPr>
          <w:color w:val="000000"/>
        </w:rPr>
        <w:t>developments</w:t>
      </w:r>
      <w:r w:rsidRPr="00661C5D">
        <w:rPr>
          <w:color w:val="000000"/>
        </w:rPr>
        <w:t xml:space="preserve"> </w:t>
      </w:r>
      <w:r>
        <w:rPr>
          <w:color w:val="000000"/>
        </w:rPr>
        <w:t>along Sandy Bay Road between Hampden Road and St Georges Terrace</w:t>
      </w:r>
      <w:r w:rsidRPr="00661C5D">
        <w:rPr>
          <w:color w:val="000000"/>
        </w:rPr>
        <w:t xml:space="preserve"> and along Brooker Avenue</w:t>
      </w:r>
      <w:r>
        <w:rPr>
          <w:color w:val="000000"/>
        </w:rPr>
        <w:t xml:space="preserve"> at Glebe</w:t>
      </w:r>
      <w:r w:rsidRPr="00661C5D">
        <w:rPr>
          <w:color w:val="000000"/>
        </w:rPr>
        <w:t xml:space="preserve">. There are already areas within Hobart that have </w:t>
      </w:r>
      <w:r>
        <w:rPr>
          <w:color w:val="000000"/>
        </w:rPr>
        <w:t>densities greater</w:t>
      </w:r>
      <w:r w:rsidRPr="00661C5D">
        <w:rPr>
          <w:color w:val="000000"/>
        </w:rPr>
        <w:t xml:space="preserve"> than 30 dwellings per hectare; examples include St Georges Terrace in Battery Point, Wapping and North Hobart between Burnett </w:t>
      </w:r>
      <w:r>
        <w:rPr>
          <w:color w:val="000000"/>
        </w:rPr>
        <w:t xml:space="preserve">Street </w:t>
      </w:r>
      <w:r w:rsidRPr="00661C5D">
        <w:rPr>
          <w:color w:val="000000"/>
        </w:rPr>
        <w:t>and Mount Stuart Road.</w:t>
      </w:r>
    </w:p>
    <w:p w:rsidR="00B42571" w:rsidRDefault="00B42571" w:rsidP="00AA51EF">
      <w:pPr>
        <w:pStyle w:val="Caption"/>
      </w:pPr>
    </w:p>
    <w:p w:rsidR="00B42571" w:rsidRDefault="00B42571" w:rsidP="00AA51EF">
      <w:pPr>
        <w:pStyle w:val="Caption"/>
      </w:pPr>
    </w:p>
    <w:p w:rsidR="00B42571" w:rsidRDefault="00B42571" w:rsidP="00AA51EF">
      <w:pPr>
        <w:pStyle w:val="Caption"/>
      </w:pPr>
      <w:r w:rsidRPr="00661C5D">
        <w:lastRenderedPageBreak/>
        <w:t xml:space="preserve">Figure </w:t>
      </w:r>
      <w:fldSimple w:instr=" SEQ Figure \* ARABIC ">
        <w:r w:rsidR="00214FC0">
          <w:rPr>
            <w:noProof/>
          </w:rPr>
          <w:t>1</w:t>
        </w:r>
      </w:fldSimple>
      <w:r w:rsidRPr="00661C5D">
        <w:t xml:space="preserve"> Population density in Greater Hobart</w:t>
      </w:r>
    </w:p>
    <w:p w:rsidR="00B42571" w:rsidRDefault="00B42571" w:rsidP="009305BE"/>
    <w:p w:rsidR="00B42571" w:rsidRPr="009305BE" w:rsidRDefault="002158F8" w:rsidP="009305BE">
      <w:r w:rsidRPr="002158F8">
        <w:rPr>
          <w:noProof/>
          <w:lang w:val="en-US"/>
        </w:rPr>
        <w:pict>
          <v:shape id="_x0000_s1031" type="#_x0000_t202" style="position:absolute;margin-left:18pt;margin-top:571.6pt;width:321.75pt;height:23.25pt;z-index:251659776" stroked="f">
            <v:textbox>
              <w:txbxContent>
                <w:p w:rsidR="00BA1A5C" w:rsidRPr="00705C91" w:rsidRDefault="00BA1A5C" w:rsidP="00385AA5">
                  <w:pPr>
                    <w:rPr>
                      <w:sz w:val="18"/>
                      <w:szCs w:val="18"/>
                    </w:rPr>
                  </w:pPr>
                  <w:r w:rsidRPr="00705C91">
                    <w:rPr>
                      <w:sz w:val="18"/>
                      <w:szCs w:val="18"/>
                    </w:rPr>
                    <w:t>Source: ABS</w:t>
                  </w:r>
                  <w:r>
                    <w:rPr>
                      <w:sz w:val="18"/>
                      <w:szCs w:val="18"/>
                    </w:rPr>
                    <w:t>,</w:t>
                  </w:r>
                  <w:r w:rsidRPr="00705C91">
                    <w:rPr>
                      <w:sz w:val="18"/>
                      <w:szCs w:val="18"/>
                    </w:rPr>
                    <w:t xml:space="preserve"> 2006</w:t>
                  </w:r>
                </w:p>
                <w:p w:rsidR="00BA1A5C" w:rsidRDefault="00BA1A5C"/>
              </w:txbxContent>
            </v:textbox>
          </v:shape>
        </w:pict>
      </w:r>
      <w:r w:rsidR="007D5C6A" w:rsidRPr="002158F8">
        <w:rPr>
          <w:noProof/>
          <w:lang w:val="en-US"/>
        </w:rPr>
        <w:pict>
          <v:shape id="Picture 0" o:spid="_x0000_i1025" type="#_x0000_t75" alt="Transit Corridors_population density.jpg" style="width:451.5pt;height:637.5pt;visibility:visible">
            <v:imagedata r:id="rId9" o:title=""/>
          </v:shape>
        </w:pict>
      </w:r>
    </w:p>
    <w:p w:rsidR="00B42571" w:rsidRDefault="00B42571" w:rsidP="00AA51EF">
      <w:pPr>
        <w:pStyle w:val="Caption"/>
      </w:pPr>
    </w:p>
    <w:p w:rsidR="00B42571" w:rsidRDefault="00B42571" w:rsidP="00AA51EF">
      <w:pPr>
        <w:pStyle w:val="Caption"/>
      </w:pPr>
      <w:r w:rsidRPr="00661C5D">
        <w:t xml:space="preserve">Figure </w:t>
      </w:r>
      <w:fldSimple w:instr=" SEQ Figure \* ARABIC ">
        <w:r w:rsidR="00214FC0">
          <w:rPr>
            <w:noProof/>
          </w:rPr>
          <w:t>2</w:t>
        </w:r>
      </w:fldSimple>
      <w:r w:rsidRPr="00661C5D">
        <w:t xml:space="preserve"> Dwelling density along </w:t>
      </w:r>
      <w:r>
        <w:t xml:space="preserve">the </w:t>
      </w:r>
      <w:r w:rsidRPr="00661C5D">
        <w:t>Transit Corridor</w:t>
      </w:r>
    </w:p>
    <w:p w:rsidR="00B42571" w:rsidRPr="00705C91" w:rsidRDefault="002158F8" w:rsidP="00705C91">
      <w:r w:rsidRPr="002158F8">
        <w:rPr>
          <w:noProof/>
          <w:lang w:val="en-US"/>
        </w:rPr>
        <w:pict>
          <v:shape id="_x0000_s1032" type="#_x0000_t202" style="position:absolute;margin-left:19.5pt;margin-top:585.55pt;width:321.75pt;height:23.25pt;z-index:251660800" stroked="f">
            <v:textbox>
              <w:txbxContent>
                <w:p w:rsidR="00BA1A5C" w:rsidRPr="00705C91" w:rsidRDefault="00BA1A5C" w:rsidP="00705C91">
                  <w:pPr>
                    <w:rPr>
                      <w:sz w:val="18"/>
                      <w:szCs w:val="18"/>
                    </w:rPr>
                  </w:pPr>
                  <w:r w:rsidRPr="00705C91">
                    <w:rPr>
                      <w:sz w:val="18"/>
                      <w:szCs w:val="18"/>
                    </w:rPr>
                    <w:t>Source: ABS</w:t>
                  </w:r>
                  <w:r>
                    <w:rPr>
                      <w:sz w:val="18"/>
                      <w:szCs w:val="18"/>
                    </w:rPr>
                    <w:t>,</w:t>
                  </w:r>
                  <w:r w:rsidRPr="00705C91">
                    <w:rPr>
                      <w:sz w:val="18"/>
                      <w:szCs w:val="18"/>
                    </w:rPr>
                    <w:t xml:space="preserve"> 2006</w:t>
                  </w:r>
                </w:p>
                <w:p w:rsidR="00BA1A5C" w:rsidRDefault="00BA1A5C" w:rsidP="00705C91"/>
              </w:txbxContent>
            </v:textbox>
          </v:shape>
        </w:pict>
      </w:r>
      <w:bookmarkStart w:id="9" w:name="OLE_LINK27"/>
      <w:bookmarkStart w:id="10" w:name="OLE_LINK28"/>
      <w:r w:rsidR="007D5C6A" w:rsidRPr="002158F8">
        <w:rPr>
          <w:noProof/>
          <w:lang w:val="en-US"/>
        </w:rPr>
        <w:pict>
          <v:shape id="Picture 2" o:spid="_x0000_i1026" type="#_x0000_t75" alt="Transit Corridors_dwelling density.jpg" style="width:451.5pt;height:637.5pt;visibility:visible">
            <v:imagedata r:id="rId10" o:title=""/>
          </v:shape>
        </w:pict>
      </w:r>
      <w:bookmarkEnd w:id="9"/>
      <w:bookmarkEnd w:id="10"/>
    </w:p>
    <w:p w:rsidR="00B42571" w:rsidRPr="00AA51EF" w:rsidRDefault="00B42571" w:rsidP="00AA51EF"/>
    <w:p w:rsidR="00B42571" w:rsidRDefault="00B42571" w:rsidP="000A3AF3">
      <w:pPr>
        <w:pStyle w:val="Heading2"/>
      </w:pPr>
      <w:bookmarkStart w:id="11" w:name="_Toc326919241"/>
      <w:r>
        <w:t>Trip attractors</w:t>
      </w:r>
      <w:bookmarkEnd w:id="11"/>
      <w:r>
        <w:t xml:space="preserve"> </w:t>
      </w:r>
    </w:p>
    <w:p w:rsidR="00B42571" w:rsidRPr="00661C5D" w:rsidRDefault="00B42571" w:rsidP="00AA51EF">
      <w:pPr>
        <w:spacing w:after="120" w:line="240" w:lineRule="auto"/>
        <w:jc w:val="both"/>
      </w:pPr>
      <w:r>
        <w:t>The Transit Corridor</w:t>
      </w:r>
      <w:r w:rsidRPr="00661C5D">
        <w:rPr>
          <w:b/>
          <w:bCs/>
          <w:i/>
          <w:iCs/>
        </w:rPr>
        <w:t xml:space="preserve"> </w:t>
      </w:r>
      <w:r w:rsidRPr="00661C5D">
        <w:t xml:space="preserve">has a high number of trip attractors located </w:t>
      </w:r>
      <w:r>
        <w:t>along its length,</w:t>
      </w:r>
      <w:r w:rsidRPr="00661C5D">
        <w:t xml:space="preserve"> including activity centres and secondary and tertiary educational institutions which affect the demand for travel. The majority of attractors </w:t>
      </w:r>
      <w:r>
        <w:t xml:space="preserve">(such as retail and service industries) </w:t>
      </w:r>
      <w:r w:rsidRPr="00661C5D">
        <w:t>are located within activity centres.</w:t>
      </w:r>
    </w:p>
    <w:p w:rsidR="00B42571" w:rsidRPr="00661C5D" w:rsidRDefault="00B42571" w:rsidP="00515F5B">
      <w:pPr>
        <w:pStyle w:val="Heading3"/>
      </w:pPr>
      <w:bookmarkStart w:id="12" w:name="_Toc326919242"/>
      <w:r w:rsidRPr="00661C5D">
        <w:t>Activity centres</w:t>
      </w:r>
      <w:bookmarkEnd w:id="12"/>
    </w:p>
    <w:p w:rsidR="00B42571" w:rsidRPr="00661C5D" w:rsidRDefault="00B42571" w:rsidP="00515F5B">
      <w:pPr>
        <w:spacing w:after="120" w:line="240" w:lineRule="auto"/>
        <w:jc w:val="both"/>
      </w:pPr>
      <w:r w:rsidRPr="00661C5D">
        <w:t xml:space="preserve">The </w:t>
      </w:r>
      <w:r w:rsidRPr="00661C5D">
        <w:rPr>
          <w:i/>
          <w:iCs/>
        </w:rPr>
        <w:t>Southern Regional Land Use Strategy</w:t>
      </w:r>
      <w:r w:rsidRPr="00661C5D">
        <w:t xml:space="preserve"> promotes the development of activity centres based on an activity centre network. The network recognises the role of the Hobart CBD as the centre for public administration, financial services and commerce for </w:t>
      </w:r>
      <w:r>
        <w:t>Tasmania and the</w:t>
      </w:r>
      <w:r w:rsidRPr="00661C5D">
        <w:t xml:space="preserve"> region whilst also recognising the ‘poly-centric’ nature of Greater Hobart.</w:t>
      </w:r>
    </w:p>
    <w:p w:rsidR="00B42571" w:rsidRPr="00661C5D" w:rsidRDefault="00B42571" w:rsidP="00515F5B">
      <w:pPr>
        <w:spacing w:after="120" w:line="240" w:lineRule="auto"/>
        <w:jc w:val="both"/>
      </w:pPr>
      <w:r w:rsidRPr="00661C5D">
        <w:t xml:space="preserve">Activity centres provide the focus for services, employment, and social interaction. They have a multi-functional role, which is broader than just a retail and commercial focus. </w:t>
      </w:r>
      <w:r>
        <w:t>Activity Centres</w:t>
      </w:r>
      <w:r w:rsidRPr="00661C5D">
        <w:t xml:space="preserve"> are also centres of community and </w:t>
      </w:r>
      <w:r>
        <w:t>g</w:t>
      </w:r>
      <w:r w:rsidRPr="00661C5D">
        <w:t>overnment services, entertainment activities and locations for major employment and education institutions.</w:t>
      </w:r>
    </w:p>
    <w:p w:rsidR="00B42571" w:rsidRPr="00661C5D" w:rsidRDefault="00B42571" w:rsidP="000A3AF3">
      <w:pPr>
        <w:spacing w:after="120" w:line="240" w:lineRule="auto"/>
        <w:jc w:val="both"/>
      </w:pPr>
      <w:r w:rsidRPr="00661C5D">
        <w:t xml:space="preserve">The following activity centres are located directly on the </w:t>
      </w:r>
      <w:r>
        <w:t>Transit</w:t>
      </w:r>
      <w:r w:rsidRPr="00661C5D">
        <w:t xml:space="preserve"> </w:t>
      </w:r>
      <w:r>
        <w:t>C</w:t>
      </w:r>
      <w:r w:rsidRPr="00661C5D">
        <w:t xml:space="preserve">orridor; their hierarchy is based on the </w:t>
      </w:r>
      <w:r w:rsidRPr="00661C5D">
        <w:rPr>
          <w:i/>
          <w:iCs/>
        </w:rPr>
        <w:t>Southern Regional Land Use Strategy</w:t>
      </w:r>
      <w:r w:rsidRPr="00661C5D">
        <w:t xml:space="preserve"> activity centre network:</w:t>
      </w:r>
    </w:p>
    <w:p w:rsidR="00B42571" w:rsidRPr="00661C5D" w:rsidRDefault="00B42571" w:rsidP="000A3AF3">
      <w:pPr>
        <w:pStyle w:val="ListParagraph"/>
        <w:numPr>
          <w:ilvl w:val="0"/>
          <w:numId w:val="13"/>
        </w:numPr>
        <w:spacing w:after="120" w:line="240" w:lineRule="auto"/>
        <w:jc w:val="both"/>
      </w:pPr>
      <w:r w:rsidRPr="00661C5D">
        <w:t>Hobart CBD: Primary Activity Centre.</w:t>
      </w:r>
    </w:p>
    <w:p w:rsidR="00B42571" w:rsidRPr="00661C5D" w:rsidRDefault="00B42571" w:rsidP="000A3AF3">
      <w:pPr>
        <w:pStyle w:val="ListParagraph"/>
        <w:numPr>
          <w:ilvl w:val="0"/>
          <w:numId w:val="13"/>
        </w:numPr>
        <w:spacing w:after="120" w:line="240" w:lineRule="auto"/>
        <w:jc w:val="both"/>
      </w:pPr>
      <w:r w:rsidRPr="00661C5D">
        <w:t>Central Glenorchy: Principal Activity Centre.</w:t>
      </w:r>
    </w:p>
    <w:p w:rsidR="00B42571" w:rsidRPr="00661C5D" w:rsidRDefault="00B42571" w:rsidP="000A3AF3">
      <w:pPr>
        <w:pStyle w:val="ListParagraph"/>
        <w:numPr>
          <w:ilvl w:val="0"/>
          <w:numId w:val="13"/>
        </w:numPr>
        <w:spacing w:after="120" w:line="240" w:lineRule="auto"/>
        <w:jc w:val="both"/>
      </w:pPr>
      <w:r w:rsidRPr="00661C5D">
        <w:t>Moonah</w:t>
      </w:r>
      <w:r>
        <w:t xml:space="preserve"> shopping precinct</w:t>
      </w:r>
      <w:r w:rsidRPr="00661C5D">
        <w:t>: Major Activity Centre.</w:t>
      </w:r>
    </w:p>
    <w:p w:rsidR="00B42571" w:rsidRPr="00661C5D" w:rsidRDefault="00B42571" w:rsidP="000A3AF3">
      <w:pPr>
        <w:pStyle w:val="ListParagraph"/>
        <w:numPr>
          <w:ilvl w:val="0"/>
          <w:numId w:val="13"/>
        </w:numPr>
        <w:spacing w:after="120" w:line="240" w:lineRule="auto"/>
        <w:jc w:val="both"/>
      </w:pPr>
      <w:r>
        <w:t>New Town shopping precinct and</w:t>
      </w:r>
      <w:r w:rsidRPr="00661C5D">
        <w:t xml:space="preserve"> North Hobart</w:t>
      </w:r>
      <w:r>
        <w:t xml:space="preserve"> shopping precinct</w:t>
      </w:r>
      <w:r w:rsidRPr="00661C5D">
        <w:t>: Minor or Neighbourhood Centre.</w:t>
      </w:r>
    </w:p>
    <w:p w:rsidR="00B42571" w:rsidRPr="00661C5D" w:rsidRDefault="00B42571" w:rsidP="00515F5B">
      <w:pPr>
        <w:pStyle w:val="Default"/>
        <w:spacing w:after="120"/>
        <w:jc w:val="both"/>
        <w:rPr>
          <w:rFonts w:cs="Arial"/>
          <w:color w:val="auto"/>
          <w:sz w:val="22"/>
          <w:szCs w:val="22"/>
        </w:rPr>
      </w:pPr>
      <w:r w:rsidRPr="00661C5D">
        <w:rPr>
          <w:rFonts w:cs="Arial"/>
          <w:color w:val="auto"/>
          <w:sz w:val="22"/>
          <w:szCs w:val="22"/>
        </w:rPr>
        <w:t>Activity centres are also major sources of employment</w:t>
      </w:r>
      <w:r>
        <w:rPr>
          <w:rFonts w:cs="Arial"/>
          <w:color w:val="auto"/>
          <w:sz w:val="22"/>
          <w:szCs w:val="22"/>
        </w:rPr>
        <w:t xml:space="preserve">, which is also a </w:t>
      </w:r>
      <w:r w:rsidRPr="00135541">
        <w:rPr>
          <w:rFonts w:cs="Arial"/>
          <w:color w:val="auto"/>
          <w:sz w:val="22"/>
          <w:szCs w:val="22"/>
        </w:rPr>
        <w:t>key dri</w:t>
      </w:r>
      <w:r>
        <w:rPr>
          <w:rFonts w:cs="Arial"/>
          <w:color w:val="auto"/>
          <w:sz w:val="22"/>
          <w:szCs w:val="22"/>
        </w:rPr>
        <w:t>ver of public transport demand</w:t>
      </w:r>
      <w:r w:rsidRPr="00661C5D">
        <w:rPr>
          <w:rFonts w:cs="Arial"/>
          <w:color w:val="auto"/>
          <w:sz w:val="22"/>
          <w:szCs w:val="22"/>
        </w:rPr>
        <w:t xml:space="preserve">. </w:t>
      </w:r>
      <w:r w:rsidR="00BA1A5C">
        <w:rPr>
          <w:rFonts w:cs="Arial"/>
          <w:color w:val="auto"/>
          <w:sz w:val="22"/>
          <w:szCs w:val="22"/>
        </w:rPr>
        <w:t xml:space="preserve">The total </w:t>
      </w:r>
      <w:r w:rsidR="00D25289">
        <w:rPr>
          <w:rFonts w:cs="Arial"/>
          <w:color w:val="auto"/>
          <w:sz w:val="22"/>
          <w:szCs w:val="22"/>
        </w:rPr>
        <w:t>number of people employed</w:t>
      </w:r>
      <w:r w:rsidR="00BA1A5C">
        <w:rPr>
          <w:rFonts w:cs="Arial"/>
          <w:color w:val="auto"/>
          <w:sz w:val="22"/>
          <w:szCs w:val="22"/>
        </w:rPr>
        <w:t xml:space="preserve"> alon</w:t>
      </w:r>
      <w:r w:rsidR="00D25289">
        <w:rPr>
          <w:rFonts w:cs="Arial"/>
          <w:color w:val="auto"/>
          <w:sz w:val="22"/>
          <w:szCs w:val="22"/>
        </w:rPr>
        <w:t>g the Corridor is 42 285 people (ABS, 2006). This is</w:t>
      </w:r>
      <w:r w:rsidR="00BA1A5C">
        <w:rPr>
          <w:rFonts w:cs="Arial"/>
          <w:color w:val="auto"/>
          <w:sz w:val="22"/>
          <w:szCs w:val="22"/>
        </w:rPr>
        <w:t xml:space="preserve"> based </w:t>
      </w:r>
      <w:r w:rsidR="00D25289">
        <w:rPr>
          <w:rFonts w:cs="Arial"/>
          <w:color w:val="auto"/>
          <w:sz w:val="22"/>
          <w:szCs w:val="22"/>
        </w:rPr>
        <w:t>on journey</w:t>
      </w:r>
      <w:r w:rsidR="00BA1A5C">
        <w:rPr>
          <w:rFonts w:cs="Arial"/>
          <w:color w:val="auto"/>
          <w:sz w:val="22"/>
          <w:szCs w:val="22"/>
        </w:rPr>
        <w:t xml:space="preserve"> to work data</w:t>
      </w:r>
      <w:r w:rsidR="00D25289">
        <w:rPr>
          <w:rFonts w:cs="Arial"/>
          <w:color w:val="auto"/>
          <w:sz w:val="22"/>
          <w:szCs w:val="22"/>
        </w:rPr>
        <w:t>, so the total amount is likely to be much higher.</w:t>
      </w:r>
      <w:r w:rsidR="00BA1A5C">
        <w:rPr>
          <w:rFonts w:cs="Arial"/>
          <w:color w:val="auto"/>
          <w:sz w:val="22"/>
          <w:szCs w:val="22"/>
        </w:rPr>
        <w:t xml:space="preserve"> </w:t>
      </w:r>
      <w:r w:rsidRPr="00661C5D">
        <w:rPr>
          <w:rFonts w:cs="Arial"/>
          <w:color w:val="auto"/>
          <w:sz w:val="22"/>
          <w:szCs w:val="22"/>
        </w:rPr>
        <w:t xml:space="preserve">The Hobart CBD is the major employment destination along the </w:t>
      </w:r>
      <w:r>
        <w:rPr>
          <w:rFonts w:cs="Arial"/>
          <w:color w:val="auto"/>
          <w:sz w:val="22"/>
          <w:szCs w:val="22"/>
        </w:rPr>
        <w:t>C</w:t>
      </w:r>
      <w:r w:rsidRPr="00661C5D">
        <w:rPr>
          <w:rFonts w:cs="Arial"/>
          <w:color w:val="auto"/>
          <w:sz w:val="22"/>
          <w:szCs w:val="22"/>
        </w:rPr>
        <w:t>orridor</w:t>
      </w:r>
      <w:r>
        <w:rPr>
          <w:rFonts w:cs="Arial"/>
          <w:color w:val="auto"/>
          <w:sz w:val="22"/>
          <w:szCs w:val="22"/>
        </w:rPr>
        <w:t>, attracting 26</w:t>
      </w:r>
      <w:r w:rsidR="00BA1A5C">
        <w:rPr>
          <w:rFonts w:cs="Arial"/>
          <w:color w:val="auto"/>
          <w:sz w:val="22"/>
          <w:szCs w:val="22"/>
        </w:rPr>
        <w:t xml:space="preserve"> </w:t>
      </w:r>
      <w:r w:rsidRPr="00661C5D">
        <w:rPr>
          <w:rFonts w:cs="Arial"/>
          <w:color w:val="auto"/>
          <w:sz w:val="22"/>
          <w:szCs w:val="22"/>
        </w:rPr>
        <w:t>127 people in the journey to work</w:t>
      </w:r>
      <w:r>
        <w:rPr>
          <w:rFonts w:cs="Arial"/>
          <w:color w:val="auto"/>
          <w:sz w:val="22"/>
          <w:szCs w:val="22"/>
        </w:rPr>
        <w:t xml:space="preserve">, followed by </w:t>
      </w:r>
      <w:r w:rsidRPr="006757E4">
        <w:rPr>
          <w:rFonts w:cs="Arial"/>
          <w:color w:val="auto"/>
          <w:sz w:val="22"/>
          <w:szCs w:val="22"/>
        </w:rPr>
        <w:t>Gle</w:t>
      </w:r>
      <w:r>
        <w:rPr>
          <w:rFonts w:cs="Arial"/>
          <w:color w:val="auto"/>
          <w:sz w:val="22"/>
          <w:szCs w:val="22"/>
        </w:rPr>
        <w:t>norchy, Derwent Park and Moonah activity centres which attracted 10</w:t>
      </w:r>
      <w:r w:rsidR="00BA1A5C">
        <w:rPr>
          <w:rFonts w:cs="Arial"/>
          <w:color w:val="auto"/>
          <w:sz w:val="22"/>
          <w:szCs w:val="22"/>
        </w:rPr>
        <w:t xml:space="preserve"> </w:t>
      </w:r>
      <w:r w:rsidRPr="006757E4">
        <w:rPr>
          <w:rFonts w:cs="Arial"/>
          <w:color w:val="auto"/>
          <w:sz w:val="22"/>
          <w:szCs w:val="22"/>
        </w:rPr>
        <w:t>652 people</w:t>
      </w:r>
      <w:r w:rsidR="00BA1A5C">
        <w:rPr>
          <w:rFonts w:cs="Arial"/>
          <w:color w:val="auto"/>
          <w:sz w:val="22"/>
          <w:szCs w:val="22"/>
        </w:rPr>
        <w:t xml:space="preserve">. </w:t>
      </w:r>
      <w:r>
        <w:rPr>
          <w:rFonts w:cs="Arial"/>
          <w:color w:val="auto"/>
          <w:sz w:val="22"/>
          <w:szCs w:val="22"/>
        </w:rPr>
        <w:t>More discussion on employment density is contained within the Demographic Influences and Travel Patterns Report.</w:t>
      </w:r>
    </w:p>
    <w:p w:rsidR="00B42571" w:rsidRPr="00661C5D" w:rsidRDefault="00B42571" w:rsidP="00515F5B">
      <w:pPr>
        <w:pStyle w:val="Default"/>
        <w:spacing w:after="120"/>
        <w:jc w:val="both"/>
        <w:rPr>
          <w:rFonts w:cs="Arial"/>
          <w:sz w:val="22"/>
          <w:szCs w:val="22"/>
        </w:rPr>
      </w:pPr>
      <w:r>
        <w:rPr>
          <w:rFonts w:cs="Arial"/>
          <w:sz w:val="22"/>
          <w:szCs w:val="22"/>
        </w:rPr>
        <w:t>The Corridor</w:t>
      </w:r>
      <w:r w:rsidRPr="00661C5D">
        <w:rPr>
          <w:rFonts w:cs="Arial"/>
          <w:sz w:val="22"/>
          <w:szCs w:val="22"/>
        </w:rPr>
        <w:t xml:space="preserve"> has a high number of activity centres compared to other potential Transit Corridors in Greater Hobart. This is largely because of historical development patterns which have evolved around the </w:t>
      </w:r>
      <w:r>
        <w:rPr>
          <w:rFonts w:cs="Arial"/>
          <w:sz w:val="22"/>
          <w:szCs w:val="22"/>
        </w:rPr>
        <w:t>C</w:t>
      </w:r>
      <w:r w:rsidRPr="00661C5D">
        <w:rPr>
          <w:rFonts w:cs="Arial"/>
          <w:sz w:val="22"/>
          <w:szCs w:val="22"/>
        </w:rPr>
        <w:t>orridor</w:t>
      </w:r>
      <w:r>
        <w:rPr>
          <w:rFonts w:cs="Arial"/>
          <w:sz w:val="22"/>
          <w:szCs w:val="22"/>
        </w:rPr>
        <w:t xml:space="preserve"> as a core public transport route</w:t>
      </w:r>
      <w:r w:rsidRPr="00661C5D">
        <w:rPr>
          <w:rFonts w:cs="Arial"/>
          <w:sz w:val="22"/>
          <w:szCs w:val="22"/>
        </w:rPr>
        <w:t xml:space="preserve">. The </w:t>
      </w:r>
      <w:r>
        <w:rPr>
          <w:rFonts w:cs="Arial"/>
          <w:sz w:val="22"/>
          <w:szCs w:val="22"/>
        </w:rPr>
        <w:t>C</w:t>
      </w:r>
      <w:r w:rsidRPr="00661C5D">
        <w:rPr>
          <w:rFonts w:cs="Arial"/>
          <w:sz w:val="22"/>
          <w:szCs w:val="22"/>
        </w:rPr>
        <w:t>orridor provides an important link between the Hobart CBD and lower order activity centres.</w:t>
      </w:r>
    </w:p>
    <w:p w:rsidR="00B42571" w:rsidRPr="00661C5D" w:rsidRDefault="00B42571" w:rsidP="00515F5B">
      <w:pPr>
        <w:spacing w:after="120" w:line="240" w:lineRule="auto"/>
        <w:jc w:val="both"/>
      </w:pPr>
      <w:r w:rsidRPr="00661C5D">
        <w:t xml:space="preserve">The map below shows the location of activity centres along the </w:t>
      </w:r>
      <w:r>
        <w:t>C</w:t>
      </w:r>
      <w:r w:rsidRPr="00661C5D">
        <w:t>orridor based predominately on the density of commercial, community and social activity. These activity centres are linked by commercial strip development</w:t>
      </w:r>
      <w:r>
        <w:t>,</w:t>
      </w:r>
      <w:r w:rsidRPr="00661C5D">
        <w:t xml:space="preserve"> particularly between Glenorchy and Moonah and from North Hobart to the Hobart CBD.</w:t>
      </w:r>
    </w:p>
    <w:p w:rsidR="00B42571" w:rsidRDefault="00B42571" w:rsidP="00515F5B">
      <w:pPr>
        <w:pStyle w:val="Caption"/>
      </w:pPr>
    </w:p>
    <w:p w:rsidR="00B42571" w:rsidRDefault="00B42571" w:rsidP="00515F5B">
      <w:pPr>
        <w:pStyle w:val="Caption"/>
      </w:pPr>
    </w:p>
    <w:p w:rsidR="00B42571" w:rsidRDefault="00B42571" w:rsidP="00515F5B">
      <w:pPr>
        <w:pStyle w:val="Caption"/>
      </w:pPr>
    </w:p>
    <w:p w:rsidR="00B42571" w:rsidRDefault="00B42571" w:rsidP="00515F5B">
      <w:pPr>
        <w:pStyle w:val="Caption"/>
      </w:pPr>
    </w:p>
    <w:p w:rsidR="00B42571" w:rsidRDefault="00B42571" w:rsidP="00515F5B">
      <w:pPr>
        <w:pStyle w:val="Caption"/>
      </w:pPr>
    </w:p>
    <w:p w:rsidR="00B42571" w:rsidRDefault="00B42571" w:rsidP="00515F5B">
      <w:pPr>
        <w:pStyle w:val="Caption"/>
      </w:pPr>
    </w:p>
    <w:p w:rsidR="00B42571" w:rsidRDefault="00B42571" w:rsidP="00515F5B">
      <w:pPr>
        <w:pStyle w:val="Caption"/>
      </w:pPr>
    </w:p>
    <w:p w:rsidR="00B42571" w:rsidRDefault="00B42571" w:rsidP="00515F5B">
      <w:pPr>
        <w:pStyle w:val="Caption"/>
      </w:pPr>
      <w:r w:rsidRPr="00661C5D">
        <w:t xml:space="preserve">Figure </w:t>
      </w:r>
      <w:fldSimple w:instr=" SEQ Figure \* ARABIC ">
        <w:r w:rsidR="00214FC0">
          <w:rPr>
            <w:noProof/>
          </w:rPr>
          <w:t>3</w:t>
        </w:r>
      </w:fldSimple>
      <w:r w:rsidRPr="00661C5D">
        <w:t xml:space="preserve"> </w:t>
      </w:r>
      <w:r>
        <w:t>Locations of Activity Centres</w:t>
      </w:r>
      <w:r w:rsidRPr="00661C5D">
        <w:t xml:space="preserve"> along the Transit Corridor</w:t>
      </w:r>
    </w:p>
    <w:p w:rsidR="00B42571" w:rsidRPr="000A3AF3" w:rsidRDefault="002158F8" w:rsidP="000A3AF3">
      <w:r w:rsidRPr="002158F8">
        <w:rPr>
          <w:noProof/>
          <w:lang w:val="en-US"/>
        </w:rPr>
        <w:pict>
          <v:shape id="_x0000_s1033" type="#_x0000_t202" style="position:absolute;margin-left:17.25pt;margin-top:585.55pt;width:321.75pt;height:23.25pt;z-index:251661824" stroked="f">
            <v:textbox>
              <w:txbxContent>
                <w:p w:rsidR="00BA1A5C" w:rsidRPr="00705C91" w:rsidRDefault="00BA1A5C" w:rsidP="005A0DA2">
                  <w:pPr>
                    <w:rPr>
                      <w:sz w:val="18"/>
                      <w:szCs w:val="18"/>
                    </w:rPr>
                  </w:pPr>
                  <w:r w:rsidRPr="00705C91">
                    <w:rPr>
                      <w:sz w:val="18"/>
                      <w:szCs w:val="18"/>
                    </w:rPr>
                    <w:t xml:space="preserve">Source: </w:t>
                  </w:r>
                  <w:r>
                    <w:rPr>
                      <w:sz w:val="18"/>
                      <w:szCs w:val="18"/>
                    </w:rPr>
                    <w:t>Discussions with Hobart and Glenorchy City Councils</w:t>
                  </w:r>
                </w:p>
                <w:p w:rsidR="00BA1A5C" w:rsidRDefault="00BA1A5C" w:rsidP="005A0DA2"/>
              </w:txbxContent>
            </v:textbox>
          </v:shape>
        </w:pict>
      </w:r>
      <w:r w:rsidR="007D5C6A" w:rsidRPr="002158F8">
        <w:rPr>
          <w:noProof/>
          <w:lang w:val="en-US"/>
        </w:rPr>
        <w:pict>
          <v:shape id="Picture 7" o:spid="_x0000_i1027" type="#_x0000_t75" alt="Transit Corridors_activity centres.jpg" style="width:451.5pt;height:637.5pt;visibility:visible">
            <v:imagedata r:id="rId11" o:title=""/>
          </v:shape>
        </w:pict>
      </w:r>
    </w:p>
    <w:p w:rsidR="00B42571" w:rsidRPr="00661C5D" w:rsidRDefault="00B42571" w:rsidP="00515F5B">
      <w:pPr>
        <w:pStyle w:val="Heading3"/>
      </w:pPr>
      <w:bookmarkStart w:id="13" w:name="_Toc326919243"/>
      <w:r w:rsidRPr="00661C5D">
        <w:lastRenderedPageBreak/>
        <w:t>Educational institutions</w:t>
      </w:r>
      <w:bookmarkEnd w:id="13"/>
    </w:p>
    <w:p w:rsidR="00B42571" w:rsidRPr="002C0EE5" w:rsidRDefault="00B42571" w:rsidP="002C0EE5">
      <w:pPr>
        <w:autoSpaceDE w:val="0"/>
        <w:autoSpaceDN w:val="0"/>
        <w:adjustRightInd w:val="0"/>
        <w:spacing w:after="120" w:line="240" w:lineRule="auto"/>
        <w:jc w:val="both"/>
      </w:pPr>
      <w:r w:rsidRPr="002C0EE5">
        <w:t xml:space="preserve">The </w:t>
      </w:r>
      <w:r>
        <w:t>Transit</w:t>
      </w:r>
      <w:r w:rsidRPr="002C0EE5">
        <w:t xml:space="preserve"> </w:t>
      </w:r>
      <w:r>
        <w:t>C</w:t>
      </w:r>
      <w:r w:rsidRPr="002C0EE5">
        <w:t>orridor</w:t>
      </w:r>
      <w:r>
        <w:t xml:space="preserve"> has several major education institutions, either </w:t>
      </w:r>
      <w:r w:rsidRPr="002C0EE5">
        <w:t xml:space="preserve">along the </w:t>
      </w:r>
      <w:r>
        <w:t>C</w:t>
      </w:r>
      <w:r w:rsidRPr="002C0EE5">
        <w:t>orridor or</w:t>
      </w:r>
      <w:r>
        <w:t xml:space="preserve"> within walking distance (0-800 metres</w:t>
      </w:r>
      <w:r w:rsidRPr="002C0EE5">
        <w:t>). These institutions include major secondary schools and tertiary institutions such as the Tasmanian Polytechnic</w:t>
      </w:r>
      <w:r>
        <w:t xml:space="preserve"> and School of Medicine</w:t>
      </w:r>
      <w:r w:rsidRPr="002C0EE5">
        <w:t>.</w:t>
      </w:r>
    </w:p>
    <w:p w:rsidR="00B42571" w:rsidRDefault="00B42571" w:rsidP="002C0EE5">
      <w:pPr>
        <w:autoSpaceDE w:val="0"/>
        <w:autoSpaceDN w:val="0"/>
        <w:adjustRightInd w:val="0"/>
        <w:spacing w:after="120" w:line="240" w:lineRule="auto"/>
        <w:jc w:val="both"/>
      </w:pPr>
      <w:r w:rsidRPr="002C0EE5">
        <w:t xml:space="preserve">The total number of students attending secondary or tertiary institutions within 800m of the </w:t>
      </w:r>
      <w:r>
        <w:t>C</w:t>
      </w:r>
      <w:r w:rsidRPr="002C0EE5">
        <w:t>orridor is 10 259, this figure includes</w:t>
      </w:r>
      <w:r>
        <w:t>:</w:t>
      </w:r>
    </w:p>
    <w:p w:rsidR="00B42571" w:rsidRDefault="00B42571" w:rsidP="002C0EE5">
      <w:pPr>
        <w:pStyle w:val="ListParagraph"/>
        <w:numPr>
          <w:ilvl w:val="0"/>
          <w:numId w:val="26"/>
        </w:numPr>
        <w:autoSpaceDE w:val="0"/>
        <w:autoSpaceDN w:val="0"/>
        <w:adjustRightInd w:val="0"/>
        <w:spacing w:after="120" w:line="240" w:lineRule="auto"/>
        <w:jc w:val="both"/>
      </w:pPr>
      <w:r w:rsidRPr="002C0EE5">
        <w:t>5395 secondary students</w:t>
      </w:r>
      <w:r>
        <w:t>.</w:t>
      </w:r>
    </w:p>
    <w:p w:rsidR="00B42571" w:rsidRPr="002C0EE5" w:rsidRDefault="00B42571" w:rsidP="002C0EE5">
      <w:pPr>
        <w:pStyle w:val="ListParagraph"/>
        <w:numPr>
          <w:ilvl w:val="0"/>
          <w:numId w:val="26"/>
        </w:numPr>
        <w:autoSpaceDE w:val="0"/>
        <w:autoSpaceDN w:val="0"/>
        <w:adjustRightInd w:val="0"/>
        <w:spacing w:after="120" w:line="240" w:lineRule="auto"/>
        <w:jc w:val="both"/>
      </w:pPr>
      <w:r w:rsidRPr="002C0EE5">
        <w:t xml:space="preserve">4864 full time equivalent tertiary students. </w:t>
      </w:r>
    </w:p>
    <w:p w:rsidR="00B42571" w:rsidRPr="00661C5D" w:rsidRDefault="00B42571" w:rsidP="002C0EE5">
      <w:pPr>
        <w:autoSpaceDE w:val="0"/>
        <w:autoSpaceDN w:val="0"/>
        <w:adjustRightInd w:val="0"/>
        <w:spacing w:after="120" w:line="240" w:lineRule="auto"/>
        <w:jc w:val="both"/>
      </w:pPr>
      <w:r w:rsidRPr="002C0EE5">
        <w:t>Students attending secondary and tertiary education are more likely to catch public transport to and from school if they live outside of the institution’s walking catchment. Therefore</w:t>
      </w:r>
      <w:r>
        <w:t>,</w:t>
      </w:r>
      <w:r w:rsidRPr="002C0EE5">
        <w:t xml:space="preserve"> </w:t>
      </w:r>
      <w:r>
        <w:t xml:space="preserve">the Transit Corridor </w:t>
      </w:r>
      <w:r w:rsidRPr="002C0EE5">
        <w:t>cater</w:t>
      </w:r>
      <w:r>
        <w:t>s</w:t>
      </w:r>
      <w:r w:rsidRPr="002C0EE5">
        <w:t xml:space="preserve"> for a large student demand.</w:t>
      </w:r>
      <w:r w:rsidRPr="00661C5D">
        <w:t xml:space="preserve"> </w:t>
      </w:r>
    </w:p>
    <w:p w:rsidR="00B42571" w:rsidRPr="00661C5D" w:rsidRDefault="00B42571" w:rsidP="00515F5B">
      <w:pPr>
        <w:pStyle w:val="Caption"/>
      </w:pPr>
      <w:r w:rsidRPr="00661C5D">
        <w:t xml:space="preserve">Figure </w:t>
      </w:r>
      <w:fldSimple w:instr=" SEQ Figure \* ARABIC ">
        <w:r w:rsidR="00214FC0">
          <w:rPr>
            <w:noProof/>
          </w:rPr>
          <w:t>4</w:t>
        </w:r>
      </w:fldSimple>
      <w:r w:rsidRPr="00661C5D">
        <w:t xml:space="preserve"> Student enrolments by Secondary and Tertiary Educational institutions within 800m of the Transit Corridor</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0"/>
        <w:gridCol w:w="3081"/>
        <w:gridCol w:w="3081"/>
      </w:tblGrid>
      <w:tr w:rsidR="00B42571" w:rsidRPr="00E069A3">
        <w:tc>
          <w:tcPr>
            <w:tcW w:w="3080" w:type="dxa"/>
          </w:tcPr>
          <w:p w:rsidR="00B42571" w:rsidRPr="00E069A3" w:rsidRDefault="00B42571" w:rsidP="00E069A3">
            <w:pPr>
              <w:autoSpaceDE w:val="0"/>
              <w:autoSpaceDN w:val="0"/>
              <w:adjustRightInd w:val="0"/>
              <w:spacing w:after="120" w:line="240" w:lineRule="auto"/>
              <w:rPr>
                <w:b/>
                <w:bCs/>
                <w:sz w:val="18"/>
                <w:szCs w:val="18"/>
              </w:rPr>
            </w:pPr>
            <w:r w:rsidRPr="00E069A3">
              <w:rPr>
                <w:b/>
                <w:bCs/>
                <w:sz w:val="18"/>
                <w:szCs w:val="18"/>
              </w:rPr>
              <w:t>Educational Institution</w:t>
            </w:r>
          </w:p>
        </w:tc>
        <w:tc>
          <w:tcPr>
            <w:tcW w:w="3081" w:type="dxa"/>
          </w:tcPr>
          <w:p w:rsidR="00B42571" w:rsidRPr="00E069A3" w:rsidRDefault="00B42571" w:rsidP="00E069A3">
            <w:pPr>
              <w:autoSpaceDE w:val="0"/>
              <w:autoSpaceDN w:val="0"/>
              <w:adjustRightInd w:val="0"/>
              <w:spacing w:after="120" w:line="240" w:lineRule="auto"/>
              <w:jc w:val="both"/>
              <w:rPr>
                <w:b/>
                <w:bCs/>
                <w:sz w:val="18"/>
                <w:szCs w:val="18"/>
              </w:rPr>
            </w:pPr>
            <w:r w:rsidRPr="00E069A3">
              <w:rPr>
                <w:b/>
                <w:bCs/>
                <w:sz w:val="18"/>
                <w:szCs w:val="18"/>
              </w:rPr>
              <w:t>Institutional Type</w:t>
            </w:r>
          </w:p>
        </w:tc>
        <w:tc>
          <w:tcPr>
            <w:tcW w:w="3081" w:type="dxa"/>
          </w:tcPr>
          <w:p w:rsidR="00B42571" w:rsidRPr="00E069A3" w:rsidRDefault="00B42571" w:rsidP="00E069A3">
            <w:pPr>
              <w:autoSpaceDE w:val="0"/>
              <w:autoSpaceDN w:val="0"/>
              <w:adjustRightInd w:val="0"/>
              <w:spacing w:after="120" w:line="240" w:lineRule="auto"/>
              <w:jc w:val="both"/>
              <w:rPr>
                <w:b/>
                <w:bCs/>
                <w:sz w:val="18"/>
                <w:szCs w:val="18"/>
              </w:rPr>
            </w:pPr>
            <w:r w:rsidRPr="00E069A3">
              <w:rPr>
                <w:b/>
                <w:bCs/>
                <w:sz w:val="18"/>
                <w:szCs w:val="18"/>
              </w:rPr>
              <w:t>Enrolment numbers</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St Michaels Collegiate, Macquarie Street,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Secondary</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468</w:t>
            </w:r>
          </w:p>
        </w:tc>
      </w:tr>
      <w:tr w:rsidR="00B42571" w:rsidRPr="00E069A3">
        <w:tc>
          <w:tcPr>
            <w:tcW w:w="3080" w:type="dxa"/>
          </w:tcPr>
          <w:p w:rsidR="00B42571" w:rsidRPr="00E069A3" w:rsidRDefault="00B42571" w:rsidP="00E069A3">
            <w:pPr>
              <w:autoSpaceDE w:val="0"/>
              <w:autoSpaceDN w:val="0"/>
              <w:adjustRightInd w:val="0"/>
              <w:spacing w:after="120" w:line="240" w:lineRule="auto"/>
              <w:rPr>
                <w:b/>
                <w:bCs/>
                <w:sz w:val="18"/>
                <w:szCs w:val="18"/>
              </w:rPr>
            </w:pPr>
            <w:r w:rsidRPr="00E069A3">
              <w:rPr>
                <w:color w:val="000000"/>
                <w:sz w:val="18"/>
                <w:szCs w:val="18"/>
                <w:lang w:eastAsia="en-AU"/>
              </w:rPr>
              <w:t>St Mary's College, Harrington St, Hobart</w:t>
            </w:r>
          </w:p>
        </w:tc>
        <w:tc>
          <w:tcPr>
            <w:tcW w:w="3081" w:type="dxa"/>
          </w:tcPr>
          <w:p w:rsidR="00B42571" w:rsidRPr="00E069A3" w:rsidRDefault="00B42571" w:rsidP="00E069A3">
            <w:pPr>
              <w:autoSpaceDE w:val="0"/>
              <w:autoSpaceDN w:val="0"/>
              <w:adjustRightInd w:val="0"/>
              <w:spacing w:after="120" w:line="240" w:lineRule="auto"/>
              <w:jc w:val="both"/>
              <w:rPr>
                <w:b/>
                <w:bCs/>
                <w:sz w:val="18"/>
                <w:szCs w:val="18"/>
              </w:rPr>
            </w:pPr>
            <w:r w:rsidRPr="00E069A3">
              <w:rPr>
                <w:sz w:val="18"/>
                <w:szCs w:val="18"/>
              </w:rPr>
              <w:t>Secondary</w:t>
            </w:r>
          </w:p>
        </w:tc>
        <w:tc>
          <w:tcPr>
            <w:tcW w:w="3081" w:type="dxa"/>
          </w:tcPr>
          <w:p w:rsidR="00B42571" w:rsidRPr="00E069A3" w:rsidRDefault="00B42571" w:rsidP="00E069A3">
            <w:pPr>
              <w:autoSpaceDE w:val="0"/>
              <w:autoSpaceDN w:val="0"/>
              <w:adjustRightInd w:val="0"/>
              <w:spacing w:after="120" w:line="240" w:lineRule="auto"/>
              <w:jc w:val="both"/>
              <w:rPr>
                <w:b/>
                <w:bCs/>
                <w:sz w:val="18"/>
                <w:szCs w:val="18"/>
              </w:rPr>
            </w:pPr>
            <w:r w:rsidRPr="00E069A3">
              <w:rPr>
                <w:color w:val="000000"/>
                <w:sz w:val="18"/>
                <w:szCs w:val="18"/>
                <w:lang w:eastAsia="en-AU"/>
              </w:rPr>
              <w:t>493</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lang w:eastAsia="en-AU"/>
              </w:rPr>
              <w:t>Lambert School, Church Street,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 xml:space="preserve">Secondary </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lang w:eastAsia="en-AU"/>
              </w:rPr>
              <w:t>37</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lang w:eastAsia="en-AU"/>
              </w:rPr>
              <w:t>The Friends School, Commercial Road, North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Secondary</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lang w:eastAsia="en-AU"/>
              </w:rPr>
              <w:t>875</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lang w:eastAsia="en-AU"/>
              </w:rPr>
            </w:pPr>
            <w:r w:rsidRPr="00E069A3">
              <w:rPr>
                <w:color w:val="000000"/>
                <w:sz w:val="18"/>
                <w:szCs w:val="18"/>
                <w:lang w:eastAsia="en-AU"/>
              </w:rPr>
              <w:t>Sacred Heart College, Cross Street, New Town</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Secondary</w:t>
            </w:r>
          </w:p>
        </w:tc>
        <w:tc>
          <w:tcPr>
            <w:tcW w:w="3081" w:type="dxa"/>
          </w:tcPr>
          <w:p w:rsidR="00B42571" w:rsidRPr="00E069A3" w:rsidRDefault="00B42571" w:rsidP="00E069A3">
            <w:pPr>
              <w:autoSpaceDE w:val="0"/>
              <w:autoSpaceDN w:val="0"/>
              <w:adjustRightInd w:val="0"/>
              <w:spacing w:after="120" w:line="240" w:lineRule="auto"/>
              <w:jc w:val="both"/>
              <w:rPr>
                <w:sz w:val="18"/>
                <w:szCs w:val="18"/>
                <w:lang w:eastAsia="en-AU"/>
              </w:rPr>
            </w:pPr>
            <w:r w:rsidRPr="00E069A3">
              <w:rPr>
                <w:color w:val="000000"/>
                <w:sz w:val="18"/>
                <w:szCs w:val="18"/>
                <w:lang w:eastAsia="en-AU"/>
              </w:rPr>
              <w:t>460</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lang w:eastAsia="en-AU"/>
              </w:rPr>
            </w:pPr>
            <w:r w:rsidRPr="00E069A3">
              <w:rPr>
                <w:color w:val="000000"/>
                <w:sz w:val="18"/>
                <w:szCs w:val="18"/>
                <w:lang w:eastAsia="en-AU"/>
              </w:rPr>
              <w:t>Ogilvie High School, New Town Road, New Town</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Secondary</w:t>
            </w:r>
          </w:p>
        </w:tc>
        <w:tc>
          <w:tcPr>
            <w:tcW w:w="3081" w:type="dxa"/>
          </w:tcPr>
          <w:p w:rsidR="00B42571" w:rsidRPr="00E069A3" w:rsidRDefault="00B42571" w:rsidP="00E069A3">
            <w:pPr>
              <w:autoSpaceDE w:val="0"/>
              <w:autoSpaceDN w:val="0"/>
              <w:adjustRightInd w:val="0"/>
              <w:spacing w:after="120" w:line="240" w:lineRule="auto"/>
              <w:jc w:val="both"/>
              <w:rPr>
                <w:sz w:val="18"/>
                <w:szCs w:val="18"/>
                <w:lang w:eastAsia="en-AU"/>
              </w:rPr>
            </w:pPr>
            <w:r w:rsidRPr="00E069A3">
              <w:rPr>
                <w:color w:val="000000"/>
                <w:sz w:val="18"/>
                <w:szCs w:val="18"/>
                <w:lang w:eastAsia="en-AU"/>
              </w:rPr>
              <w:t>929</w:t>
            </w:r>
          </w:p>
        </w:tc>
      </w:tr>
      <w:tr w:rsidR="00B42571" w:rsidRPr="00E069A3">
        <w:tc>
          <w:tcPr>
            <w:tcW w:w="3080" w:type="dxa"/>
          </w:tcPr>
          <w:p w:rsidR="00B42571" w:rsidRPr="00E069A3" w:rsidRDefault="00B42571" w:rsidP="00E069A3">
            <w:pPr>
              <w:autoSpaceDE w:val="0"/>
              <w:autoSpaceDN w:val="0"/>
              <w:adjustRightInd w:val="0"/>
              <w:spacing w:after="120" w:line="240" w:lineRule="auto"/>
              <w:rPr>
                <w:b/>
                <w:bCs/>
                <w:sz w:val="18"/>
                <w:szCs w:val="18"/>
                <w:lang w:eastAsia="en-AU"/>
              </w:rPr>
            </w:pPr>
            <w:r w:rsidRPr="00E069A3">
              <w:rPr>
                <w:color w:val="000000"/>
                <w:sz w:val="18"/>
                <w:szCs w:val="18"/>
                <w:lang w:eastAsia="en-AU"/>
              </w:rPr>
              <w:t>New Town High School, New Town Road, New Town</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Secondary</w:t>
            </w:r>
          </w:p>
        </w:tc>
        <w:tc>
          <w:tcPr>
            <w:tcW w:w="3081" w:type="dxa"/>
          </w:tcPr>
          <w:p w:rsidR="00B42571" w:rsidRPr="00E069A3" w:rsidRDefault="00B42571" w:rsidP="00E069A3">
            <w:pPr>
              <w:autoSpaceDE w:val="0"/>
              <w:autoSpaceDN w:val="0"/>
              <w:adjustRightInd w:val="0"/>
              <w:spacing w:after="120" w:line="240" w:lineRule="auto"/>
              <w:jc w:val="both"/>
              <w:rPr>
                <w:sz w:val="18"/>
                <w:szCs w:val="18"/>
                <w:lang w:eastAsia="en-AU"/>
              </w:rPr>
            </w:pPr>
            <w:r w:rsidRPr="00E069A3">
              <w:rPr>
                <w:color w:val="000000"/>
                <w:sz w:val="18"/>
                <w:szCs w:val="18"/>
                <w:lang w:eastAsia="en-AU"/>
              </w:rPr>
              <w:t>787</w:t>
            </w:r>
          </w:p>
        </w:tc>
      </w:tr>
      <w:tr w:rsidR="00B42571" w:rsidRPr="00E069A3">
        <w:tc>
          <w:tcPr>
            <w:tcW w:w="3080" w:type="dxa"/>
          </w:tcPr>
          <w:p w:rsidR="00B42571" w:rsidRPr="00E069A3" w:rsidRDefault="00B42571" w:rsidP="00E069A3">
            <w:pPr>
              <w:autoSpaceDE w:val="0"/>
              <w:autoSpaceDN w:val="0"/>
              <w:adjustRightInd w:val="0"/>
              <w:spacing w:after="120" w:line="240" w:lineRule="auto"/>
              <w:rPr>
                <w:color w:val="000000"/>
                <w:sz w:val="18"/>
                <w:szCs w:val="18"/>
                <w:lang w:eastAsia="en-AU"/>
              </w:rPr>
            </w:pPr>
            <w:r w:rsidRPr="00E069A3">
              <w:rPr>
                <w:color w:val="000000"/>
                <w:sz w:val="18"/>
                <w:szCs w:val="18"/>
                <w:lang w:eastAsia="en-AU"/>
              </w:rPr>
              <w:t>Cosgrove High School, Main Road, Glenorchy</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Secondary</w:t>
            </w:r>
          </w:p>
        </w:tc>
        <w:tc>
          <w:tcPr>
            <w:tcW w:w="3081" w:type="dxa"/>
          </w:tcPr>
          <w:p w:rsidR="00B42571" w:rsidRPr="00E069A3" w:rsidRDefault="00B42571" w:rsidP="00E069A3">
            <w:pPr>
              <w:autoSpaceDE w:val="0"/>
              <w:autoSpaceDN w:val="0"/>
              <w:adjustRightInd w:val="0"/>
              <w:spacing w:after="120" w:line="240" w:lineRule="auto"/>
              <w:jc w:val="both"/>
              <w:rPr>
                <w:color w:val="000000"/>
                <w:sz w:val="18"/>
                <w:szCs w:val="18"/>
                <w:lang w:eastAsia="en-AU"/>
              </w:rPr>
            </w:pPr>
            <w:r w:rsidRPr="00E069A3">
              <w:rPr>
                <w:color w:val="000000"/>
                <w:sz w:val="18"/>
                <w:szCs w:val="18"/>
                <w:lang w:eastAsia="en-AU"/>
              </w:rPr>
              <w:t>258</w:t>
            </w:r>
          </w:p>
        </w:tc>
      </w:tr>
      <w:tr w:rsidR="00B42571" w:rsidRPr="00E069A3">
        <w:tc>
          <w:tcPr>
            <w:tcW w:w="3080" w:type="dxa"/>
          </w:tcPr>
          <w:p w:rsidR="00B42571" w:rsidRPr="00E069A3" w:rsidRDefault="00B42571" w:rsidP="00E069A3">
            <w:pPr>
              <w:autoSpaceDE w:val="0"/>
              <w:autoSpaceDN w:val="0"/>
              <w:adjustRightInd w:val="0"/>
              <w:spacing w:after="120" w:line="240" w:lineRule="auto"/>
              <w:rPr>
                <w:color w:val="000000"/>
                <w:sz w:val="18"/>
                <w:szCs w:val="18"/>
                <w:lang w:eastAsia="en-AU"/>
              </w:rPr>
            </w:pPr>
            <w:r w:rsidRPr="00E069A3">
              <w:rPr>
                <w:color w:val="000000"/>
                <w:sz w:val="18"/>
                <w:szCs w:val="18"/>
                <w:lang w:eastAsia="en-AU"/>
              </w:rPr>
              <w:t>Elizabeth College, Elizabeth Street, North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Secondary</w:t>
            </w:r>
          </w:p>
        </w:tc>
        <w:tc>
          <w:tcPr>
            <w:tcW w:w="3081" w:type="dxa"/>
          </w:tcPr>
          <w:p w:rsidR="00B42571" w:rsidRPr="00E069A3" w:rsidRDefault="00B42571" w:rsidP="00E069A3">
            <w:pPr>
              <w:autoSpaceDE w:val="0"/>
              <w:autoSpaceDN w:val="0"/>
              <w:adjustRightInd w:val="0"/>
              <w:spacing w:after="120" w:line="240" w:lineRule="auto"/>
              <w:jc w:val="both"/>
              <w:rPr>
                <w:color w:val="000000"/>
                <w:sz w:val="18"/>
                <w:szCs w:val="18"/>
                <w:lang w:eastAsia="en-AU"/>
              </w:rPr>
            </w:pPr>
            <w:r w:rsidRPr="00E069A3">
              <w:rPr>
                <w:color w:val="000000"/>
                <w:sz w:val="18"/>
                <w:szCs w:val="18"/>
                <w:lang w:eastAsia="en-AU"/>
              </w:rPr>
              <w:t>1088</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Tasmanian Polytechnic and Tasmania Skills Institute (Campbell Street Campus,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Tertiary</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color w:val="000000"/>
                <w:sz w:val="18"/>
                <w:szCs w:val="18"/>
                <w:lang w:eastAsia="en-AU"/>
              </w:rPr>
              <w:t>2248*</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Tasmanian Polytechnic and Tasmania Skills Institute (</w:t>
            </w:r>
            <w:r w:rsidRPr="00E069A3">
              <w:rPr>
                <w:color w:val="000000"/>
                <w:sz w:val="18"/>
                <w:szCs w:val="18"/>
                <w:lang w:eastAsia="en-AU"/>
              </w:rPr>
              <w:t>Bathurst Street Campus,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Tertiary</w:t>
            </w:r>
          </w:p>
        </w:tc>
        <w:tc>
          <w:tcPr>
            <w:tcW w:w="3081" w:type="dxa"/>
          </w:tcPr>
          <w:p w:rsidR="00B42571" w:rsidRPr="00E069A3" w:rsidRDefault="00B42571" w:rsidP="00E069A3">
            <w:pPr>
              <w:autoSpaceDE w:val="0"/>
              <w:autoSpaceDN w:val="0"/>
              <w:adjustRightInd w:val="0"/>
              <w:spacing w:after="120" w:line="240" w:lineRule="auto"/>
              <w:jc w:val="both"/>
              <w:rPr>
                <w:color w:val="000000"/>
                <w:sz w:val="18"/>
                <w:szCs w:val="18"/>
                <w:lang w:eastAsia="en-AU"/>
              </w:rPr>
            </w:pPr>
            <w:r w:rsidRPr="00E069A3">
              <w:rPr>
                <w:color w:val="000000"/>
                <w:sz w:val="18"/>
                <w:szCs w:val="18"/>
                <w:lang w:eastAsia="en-AU"/>
              </w:rPr>
              <w:t>559*</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color w:val="000000"/>
                <w:sz w:val="18"/>
                <w:szCs w:val="18"/>
                <w:lang w:eastAsia="en-AU"/>
              </w:rPr>
              <w:t xml:space="preserve">Drysdale, Collins Street, Hobart </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Tertiary</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color w:val="000000"/>
                <w:sz w:val="18"/>
                <w:szCs w:val="18"/>
                <w:lang w:eastAsia="en-AU"/>
              </w:rPr>
              <w:t>807*</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UTAS, School of Medicine, Collins Street,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Tertiary</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585*</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UTAS, Conservatorium of Music, Sandy Bay Road,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Tertiary</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278</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UTAS, School of Art, Hunter Street, Hobart</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Tertiary</w:t>
            </w:r>
          </w:p>
        </w:tc>
        <w:tc>
          <w:tcPr>
            <w:tcW w:w="3081" w:type="dxa"/>
          </w:tcPr>
          <w:p w:rsidR="00B42571" w:rsidRPr="00E069A3" w:rsidRDefault="00B42571" w:rsidP="00E069A3">
            <w:pPr>
              <w:autoSpaceDE w:val="0"/>
              <w:autoSpaceDN w:val="0"/>
              <w:adjustRightInd w:val="0"/>
              <w:spacing w:after="120" w:line="240" w:lineRule="auto"/>
              <w:jc w:val="both"/>
              <w:rPr>
                <w:sz w:val="18"/>
                <w:szCs w:val="18"/>
              </w:rPr>
            </w:pPr>
            <w:r w:rsidRPr="00E069A3">
              <w:rPr>
                <w:sz w:val="18"/>
                <w:szCs w:val="18"/>
              </w:rPr>
              <w:t>387</w:t>
            </w:r>
          </w:p>
        </w:tc>
      </w:tr>
    </w:tbl>
    <w:p w:rsidR="00B42571" w:rsidRPr="00661C5D" w:rsidRDefault="00B42571" w:rsidP="00515F5B">
      <w:pPr>
        <w:autoSpaceDE w:val="0"/>
        <w:autoSpaceDN w:val="0"/>
        <w:adjustRightInd w:val="0"/>
        <w:spacing w:after="120" w:line="240" w:lineRule="auto"/>
        <w:jc w:val="both"/>
      </w:pPr>
      <w:r w:rsidRPr="00661C5D">
        <w:t xml:space="preserve">* </w:t>
      </w:r>
      <w:r w:rsidRPr="00661C5D">
        <w:rPr>
          <w:sz w:val="18"/>
          <w:szCs w:val="18"/>
        </w:rPr>
        <w:t xml:space="preserve">denotes Full Time Equivalents, </w:t>
      </w:r>
      <w:r>
        <w:rPr>
          <w:sz w:val="18"/>
          <w:szCs w:val="18"/>
        </w:rPr>
        <w:t xml:space="preserve">note </w:t>
      </w:r>
      <w:r w:rsidRPr="00661C5D">
        <w:rPr>
          <w:sz w:val="18"/>
          <w:szCs w:val="18"/>
        </w:rPr>
        <w:t>student enrolments are Secondary and Tertiary enrolments only.</w:t>
      </w:r>
    </w:p>
    <w:p w:rsidR="00B42571" w:rsidRPr="00661C5D" w:rsidRDefault="00B42571" w:rsidP="00515F5B">
      <w:pPr>
        <w:autoSpaceDE w:val="0"/>
        <w:autoSpaceDN w:val="0"/>
        <w:adjustRightInd w:val="0"/>
        <w:spacing w:after="120" w:line="240" w:lineRule="auto"/>
        <w:jc w:val="both"/>
        <w:rPr>
          <w:sz w:val="18"/>
          <w:szCs w:val="18"/>
        </w:rPr>
      </w:pPr>
      <w:r w:rsidRPr="00661C5D">
        <w:rPr>
          <w:sz w:val="18"/>
          <w:szCs w:val="18"/>
        </w:rPr>
        <w:t>Source: Tasmanian Department of Education, Catholic and Independen</w:t>
      </w:r>
      <w:r w:rsidR="00A0670F">
        <w:rPr>
          <w:sz w:val="18"/>
          <w:szCs w:val="18"/>
        </w:rPr>
        <w:t>t Schools</w:t>
      </w:r>
      <w:r w:rsidRPr="00661C5D">
        <w:rPr>
          <w:sz w:val="18"/>
          <w:szCs w:val="18"/>
        </w:rPr>
        <w:t>, UTAS, and Tasmanian Polytechnic and Tasmanian Skills Institute, based on 2009 enrolments.</w:t>
      </w:r>
    </w:p>
    <w:p w:rsidR="00B42571" w:rsidRPr="00661C5D" w:rsidRDefault="00B42571" w:rsidP="00515F5B">
      <w:pPr>
        <w:pStyle w:val="Heading3"/>
      </w:pPr>
      <w:bookmarkStart w:id="14" w:name="_Toc326919244"/>
      <w:r w:rsidRPr="00661C5D">
        <w:lastRenderedPageBreak/>
        <w:t xml:space="preserve">Other </w:t>
      </w:r>
      <w:r>
        <w:t xml:space="preserve">trip </w:t>
      </w:r>
      <w:r w:rsidRPr="00661C5D">
        <w:t>attractors</w:t>
      </w:r>
      <w:bookmarkEnd w:id="14"/>
    </w:p>
    <w:p w:rsidR="00B42571" w:rsidRPr="00661C5D" w:rsidRDefault="00B42571" w:rsidP="00515F5B">
      <w:pPr>
        <w:autoSpaceDE w:val="0"/>
        <w:autoSpaceDN w:val="0"/>
        <w:adjustRightInd w:val="0"/>
        <w:spacing w:after="0" w:line="240" w:lineRule="auto"/>
      </w:pPr>
    </w:p>
    <w:p w:rsidR="00B42571" w:rsidRDefault="00B42571" w:rsidP="00E1435E">
      <w:pPr>
        <w:autoSpaceDE w:val="0"/>
        <w:autoSpaceDN w:val="0"/>
        <w:adjustRightInd w:val="0"/>
        <w:spacing w:after="120" w:line="240" w:lineRule="auto"/>
        <w:jc w:val="both"/>
      </w:pPr>
      <w:r w:rsidRPr="00661C5D">
        <w:t>Ot</w:t>
      </w:r>
      <w:r>
        <w:t>her major attractors along the T</w:t>
      </w:r>
      <w:r w:rsidRPr="00661C5D">
        <w:t xml:space="preserve">ransit </w:t>
      </w:r>
      <w:r>
        <w:t>C</w:t>
      </w:r>
      <w:r w:rsidRPr="00661C5D">
        <w:t>orri</w:t>
      </w:r>
      <w:r>
        <w:t>dor include health care facilities. Hospitals located directly on the Corridor include:</w:t>
      </w:r>
    </w:p>
    <w:p w:rsidR="00B42571" w:rsidRDefault="00B42571" w:rsidP="00E1435E">
      <w:pPr>
        <w:pStyle w:val="ListParagraph"/>
        <w:numPr>
          <w:ilvl w:val="0"/>
          <w:numId w:val="30"/>
        </w:numPr>
        <w:autoSpaceDE w:val="0"/>
        <w:autoSpaceDN w:val="0"/>
        <w:adjustRightInd w:val="0"/>
        <w:spacing w:after="120" w:line="240" w:lineRule="auto"/>
        <w:jc w:val="both"/>
      </w:pPr>
      <w:r w:rsidRPr="00E1435E">
        <w:t xml:space="preserve">The Royal Hobart </w:t>
      </w:r>
      <w:r>
        <w:t xml:space="preserve">Hospital, Hobart CBD. The Royal is </w:t>
      </w:r>
      <w:r w:rsidRPr="00E1435E">
        <w:t>Tasmania’s largest hospital and clinica</w:t>
      </w:r>
      <w:r>
        <w:t xml:space="preserve">l teaching school, it is also a major research centre: employs over </w:t>
      </w:r>
      <w:r w:rsidRPr="00E1435E">
        <w:t xml:space="preserve">2000 full time equivalents and provides 490 beds.  </w:t>
      </w:r>
    </w:p>
    <w:p w:rsidR="00B42571" w:rsidRPr="00E1435E" w:rsidRDefault="00B42571" w:rsidP="00E1435E">
      <w:pPr>
        <w:pStyle w:val="ListParagraph"/>
        <w:numPr>
          <w:ilvl w:val="0"/>
          <w:numId w:val="30"/>
        </w:numPr>
        <w:autoSpaceDE w:val="0"/>
        <w:autoSpaceDN w:val="0"/>
        <w:adjustRightInd w:val="0"/>
        <w:spacing w:after="120" w:line="240" w:lineRule="auto"/>
        <w:jc w:val="both"/>
      </w:pPr>
      <w:r w:rsidRPr="00E1435E">
        <w:t>The Hobart Private Hospital which is co-located</w:t>
      </w:r>
      <w:r>
        <w:t xml:space="preserve"> with the Royal Hobart Hospital:</w:t>
      </w:r>
      <w:r w:rsidRPr="00E1435E">
        <w:t xml:space="preserve"> 146 beds. </w:t>
      </w:r>
    </w:p>
    <w:p w:rsidR="00B42571" w:rsidRDefault="00B42571" w:rsidP="00E1435E">
      <w:pPr>
        <w:autoSpaceDE w:val="0"/>
        <w:autoSpaceDN w:val="0"/>
        <w:adjustRightInd w:val="0"/>
        <w:spacing w:after="120" w:line="240" w:lineRule="auto"/>
        <w:jc w:val="both"/>
      </w:pPr>
      <w:r w:rsidRPr="00190132">
        <w:t>Hospitals within 800 metres of the corridor include</w:t>
      </w:r>
      <w:r>
        <w:t>:</w:t>
      </w:r>
    </w:p>
    <w:p w:rsidR="00B42571" w:rsidRDefault="00B42571" w:rsidP="00E1435E">
      <w:pPr>
        <w:pStyle w:val="ListParagraph"/>
        <w:numPr>
          <w:ilvl w:val="0"/>
          <w:numId w:val="28"/>
        </w:numPr>
        <w:autoSpaceDE w:val="0"/>
        <w:autoSpaceDN w:val="0"/>
        <w:adjustRightInd w:val="0"/>
        <w:spacing w:after="120" w:line="240" w:lineRule="auto"/>
        <w:jc w:val="both"/>
      </w:pPr>
      <w:r w:rsidRPr="00190132">
        <w:t>The Calvary Health Centre Hospital</w:t>
      </w:r>
      <w:r>
        <w:t>, Augusta Road,</w:t>
      </w:r>
      <w:r w:rsidRPr="00190132">
        <w:t xml:space="preserve"> Lenah Valley</w:t>
      </w:r>
      <w:r>
        <w:t xml:space="preserve">: </w:t>
      </w:r>
      <w:r w:rsidRPr="00190132">
        <w:t xml:space="preserve">173 beds. </w:t>
      </w:r>
    </w:p>
    <w:p w:rsidR="00B42571" w:rsidRPr="00190132" w:rsidRDefault="00B42571" w:rsidP="00E1435E">
      <w:pPr>
        <w:pStyle w:val="ListParagraph"/>
        <w:numPr>
          <w:ilvl w:val="0"/>
          <w:numId w:val="28"/>
        </w:numPr>
        <w:autoSpaceDE w:val="0"/>
        <w:autoSpaceDN w:val="0"/>
        <w:adjustRightInd w:val="0"/>
        <w:spacing w:after="120" w:line="240" w:lineRule="auto"/>
        <w:jc w:val="both"/>
      </w:pPr>
      <w:r w:rsidRPr="00190132">
        <w:t>St Helens Private Hospital</w:t>
      </w:r>
      <w:r>
        <w:t xml:space="preserve">, </w:t>
      </w:r>
      <w:r w:rsidRPr="00190132">
        <w:t>Macquarie Street</w:t>
      </w:r>
      <w:r>
        <w:t>:</w:t>
      </w:r>
      <w:r w:rsidRPr="00190132">
        <w:t xml:space="preserve"> 37 beds</w:t>
      </w:r>
      <w:r>
        <w:t>.</w:t>
      </w:r>
      <w:r w:rsidRPr="00190132">
        <w:t xml:space="preserve"> </w:t>
      </w:r>
    </w:p>
    <w:p w:rsidR="00B42571" w:rsidRDefault="00B42571" w:rsidP="00E1435E">
      <w:pPr>
        <w:autoSpaceDE w:val="0"/>
        <w:autoSpaceDN w:val="0"/>
        <w:adjustRightInd w:val="0"/>
        <w:spacing w:after="120" w:line="240" w:lineRule="auto"/>
        <w:jc w:val="both"/>
      </w:pPr>
      <w:r w:rsidRPr="00661C5D">
        <w:t>Other attractor</w:t>
      </w:r>
      <w:r>
        <w:t>s along the Corridor include:</w:t>
      </w:r>
    </w:p>
    <w:p w:rsidR="00B42571" w:rsidRDefault="00B42571" w:rsidP="00E1435E">
      <w:pPr>
        <w:pStyle w:val="ListParagraph"/>
        <w:numPr>
          <w:ilvl w:val="0"/>
          <w:numId w:val="29"/>
        </w:numPr>
        <w:autoSpaceDE w:val="0"/>
        <w:autoSpaceDN w:val="0"/>
        <w:adjustRightInd w:val="0"/>
        <w:spacing w:after="120" w:line="240" w:lineRule="auto"/>
        <w:jc w:val="both"/>
      </w:pPr>
      <w:r w:rsidRPr="00190132">
        <w:t>Royal Hobart Showgrou</w:t>
      </w:r>
      <w:r>
        <w:t xml:space="preserve">nds, </w:t>
      </w:r>
      <w:r w:rsidRPr="00190132">
        <w:t>Glenorchy</w:t>
      </w:r>
      <w:r>
        <w:t>.</w:t>
      </w:r>
    </w:p>
    <w:p w:rsidR="00B42571" w:rsidRPr="00E1435E" w:rsidRDefault="00B42571" w:rsidP="00E1435E">
      <w:pPr>
        <w:pStyle w:val="ListParagraph"/>
        <w:numPr>
          <w:ilvl w:val="0"/>
          <w:numId w:val="29"/>
        </w:numPr>
        <w:autoSpaceDE w:val="0"/>
        <w:autoSpaceDN w:val="0"/>
        <w:adjustRightInd w:val="0"/>
        <w:spacing w:after="120" w:line="240" w:lineRule="auto"/>
        <w:jc w:val="both"/>
      </w:pPr>
      <w:r w:rsidRPr="00190132">
        <w:t>King George V cultural and sport precinct</w:t>
      </w:r>
      <w:r>
        <w:t xml:space="preserve">, </w:t>
      </w:r>
      <w:r w:rsidRPr="00190132">
        <w:t>Glenorchy</w:t>
      </w:r>
      <w:r>
        <w:t>, which is undergoing an extensive upgrade.</w:t>
      </w:r>
    </w:p>
    <w:p w:rsidR="00B42571" w:rsidRDefault="00B42571" w:rsidP="00E1435E">
      <w:pPr>
        <w:pStyle w:val="ListParagraph"/>
        <w:numPr>
          <w:ilvl w:val="0"/>
          <w:numId w:val="29"/>
        </w:numPr>
        <w:autoSpaceDE w:val="0"/>
        <w:autoSpaceDN w:val="0"/>
        <w:adjustRightInd w:val="0"/>
        <w:spacing w:after="120" w:line="240" w:lineRule="auto"/>
        <w:jc w:val="both"/>
      </w:pPr>
      <w:r>
        <w:t xml:space="preserve">St Johns Park precinct, </w:t>
      </w:r>
      <w:r w:rsidRPr="00190132">
        <w:t>New Town i</w:t>
      </w:r>
      <w:r>
        <w:t xml:space="preserve">ncludes uses such as aged care and </w:t>
      </w:r>
      <w:r w:rsidRPr="00190132">
        <w:t xml:space="preserve">State Government offices. </w:t>
      </w:r>
    </w:p>
    <w:p w:rsidR="00B42571" w:rsidRDefault="00B42571" w:rsidP="00352A6C">
      <w:pPr>
        <w:pStyle w:val="Caption"/>
      </w:pPr>
    </w:p>
    <w:p w:rsidR="00B42571" w:rsidRDefault="00B42571">
      <w:pPr>
        <w:rPr>
          <w:b/>
          <w:bCs/>
          <w:color w:val="4F81BD"/>
          <w:sz w:val="18"/>
          <w:szCs w:val="18"/>
        </w:rPr>
      </w:pPr>
      <w:r>
        <w:br w:type="page"/>
      </w:r>
    </w:p>
    <w:p w:rsidR="00B42571" w:rsidRDefault="00B42571" w:rsidP="00352A6C">
      <w:pPr>
        <w:pStyle w:val="Caption"/>
      </w:pPr>
      <w:r>
        <w:t xml:space="preserve">Figure </w:t>
      </w:r>
      <w:fldSimple w:instr=" SEQ Figure \* ARABIC ">
        <w:r w:rsidR="00214FC0">
          <w:rPr>
            <w:noProof/>
          </w:rPr>
          <w:t>5</w:t>
        </w:r>
      </w:fldSimple>
      <w:r>
        <w:t xml:space="preserve"> Location of major trip attractors (Northern section of Corridor)</w:t>
      </w:r>
    </w:p>
    <w:p w:rsidR="00B42571" w:rsidRPr="00352A6C" w:rsidRDefault="007D5C6A" w:rsidP="00352A6C">
      <w:r w:rsidRPr="002158F8">
        <w:rPr>
          <w:noProof/>
          <w:lang w:val="en-US"/>
        </w:rPr>
        <w:pict>
          <v:shape id="Picture 5" o:spid="_x0000_i1028" type="#_x0000_t75" alt="Transit Corridors_activity centres_north.jpg" style="width:451.5pt;height:637.5pt;visibility:visible">
            <v:imagedata r:id="rId12" o:title=""/>
          </v:shape>
        </w:pict>
      </w:r>
    </w:p>
    <w:p w:rsidR="00B42571" w:rsidRDefault="00B42571" w:rsidP="00352A6C">
      <w:pPr>
        <w:pStyle w:val="Caption"/>
      </w:pPr>
    </w:p>
    <w:p w:rsidR="00B42571" w:rsidRDefault="00B42571" w:rsidP="00352A6C">
      <w:pPr>
        <w:pStyle w:val="Caption"/>
      </w:pPr>
      <w:r>
        <w:t xml:space="preserve">Figure </w:t>
      </w:r>
      <w:fldSimple w:instr=" SEQ Figure \* ARABIC ">
        <w:r w:rsidR="00214FC0">
          <w:rPr>
            <w:noProof/>
          </w:rPr>
          <w:t>6</w:t>
        </w:r>
      </w:fldSimple>
      <w:r>
        <w:t xml:space="preserve"> Location of major trip attractors (Southern section of Corridor)</w:t>
      </w:r>
    </w:p>
    <w:p w:rsidR="00B42571" w:rsidRPr="00352A6C" w:rsidRDefault="007D5C6A" w:rsidP="00352A6C">
      <w:r w:rsidRPr="002158F8">
        <w:rPr>
          <w:noProof/>
          <w:lang w:val="en-US"/>
        </w:rPr>
        <w:pict>
          <v:shape id="Picture 6" o:spid="_x0000_i1029" type="#_x0000_t75" alt="Transit Corridors_activity centres_southV2.jpg" style="width:451.5pt;height:637.5pt;visibility:visible">
            <v:imagedata r:id="rId13" o:title=""/>
          </v:shape>
        </w:pict>
      </w:r>
    </w:p>
    <w:p w:rsidR="00B42571" w:rsidRDefault="00B42571" w:rsidP="00515F5B">
      <w:pPr>
        <w:pStyle w:val="Heading1"/>
      </w:pPr>
      <w:bookmarkStart w:id="15" w:name="_Toc326919245"/>
      <w:r>
        <w:lastRenderedPageBreak/>
        <w:t>The case for more compact and mixed use development patterns</w:t>
      </w:r>
      <w:bookmarkEnd w:id="15"/>
    </w:p>
    <w:p w:rsidR="00B42571" w:rsidRPr="0024550C" w:rsidRDefault="00B42571" w:rsidP="00445B6A">
      <w:pPr>
        <w:autoSpaceDE w:val="0"/>
        <w:autoSpaceDN w:val="0"/>
        <w:adjustRightInd w:val="0"/>
        <w:spacing w:after="120" w:line="240" w:lineRule="auto"/>
        <w:jc w:val="both"/>
        <w:rPr>
          <w:color w:val="000000"/>
        </w:rPr>
      </w:pPr>
      <w:r w:rsidRPr="00C00849">
        <w:rPr>
          <w:sz w:val="23"/>
          <w:szCs w:val="23"/>
        </w:rPr>
        <w:t xml:space="preserve">While existing Planning Schemes in Greater Hobart make provisions for mixed use and infill residential development </w:t>
      </w:r>
      <w:r>
        <w:rPr>
          <w:sz w:val="23"/>
          <w:szCs w:val="23"/>
        </w:rPr>
        <w:t>(</w:t>
      </w:r>
      <w:r w:rsidRPr="00C00849">
        <w:rPr>
          <w:sz w:val="23"/>
          <w:szCs w:val="23"/>
        </w:rPr>
        <w:t>especially around activity centres</w:t>
      </w:r>
      <w:r>
        <w:rPr>
          <w:sz w:val="23"/>
          <w:szCs w:val="23"/>
        </w:rPr>
        <w:t>)</w:t>
      </w:r>
      <w:r w:rsidRPr="00C00849">
        <w:rPr>
          <w:sz w:val="23"/>
          <w:szCs w:val="23"/>
        </w:rPr>
        <w:t xml:space="preserve">, the uptake of this has been slow outside the Hobart CBD. This is largely because the development market in Tasmania is geared towards Greenfield development. Greater Hobart also does not have the large scale infill and Greenfield development that occurs in other major cities; therefore there have been no </w:t>
      </w:r>
      <w:r>
        <w:rPr>
          <w:sz w:val="23"/>
          <w:szCs w:val="23"/>
        </w:rPr>
        <w:t xml:space="preserve">formal </w:t>
      </w:r>
      <w:r w:rsidRPr="00C00849">
        <w:rPr>
          <w:sz w:val="23"/>
          <w:szCs w:val="23"/>
        </w:rPr>
        <w:t>requirements to create mixed use development precincts.</w:t>
      </w:r>
    </w:p>
    <w:p w:rsidR="00B42571" w:rsidRDefault="00B42571" w:rsidP="00445B6A">
      <w:pPr>
        <w:autoSpaceDE w:val="0"/>
        <w:autoSpaceDN w:val="0"/>
        <w:adjustRightInd w:val="0"/>
        <w:spacing w:after="120" w:line="240" w:lineRule="auto"/>
        <w:jc w:val="both"/>
      </w:pPr>
      <w:r w:rsidRPr="00A90D68">
        <w:t>Mixed use and more compact development is one way that the planning system</w:t>
      </w:r>
      <w:r>
        <w:t xml:space="preserve"> can </w:t>
      </w:r>
      <w:r w:rsidRPr="00A90D68">
        <w:t xml:space="preserve">respond to take advantage of existing transport infrastructure. For example, </w:t>
      </w:r>
      <w:r>
        <w:t xml:space="preserve">targeting </w:t>
      </w:r>
      <w:r w:rsidRPr="00A90D68">
        <w:t xml:space="preserve">development near existing high frequency public transport routes </w:t>
      </w:r>
      <w:r>
        <w:t>is</w:t>
      </w:r>
      <w:r w:rsidRPr="00A90D68">
        <w:t xml:space="preserve"> </w:t>
      </w:r>
      <w:r>
        <w:t>a means</w:t>
      </w:r>
      <w:r w:rsidRPr="00A90D68">
        <w:t xml:space="preserve"> to increase residential, employment, retail and entertainment activity within one place. These developments are known as </w:t>
      </w:r>
      <w:r>
        <w:t>‘transit</w:t>
      </w:r>
      <w:r w:rsidRPr="00A90D68">
        <w:t>-oriented developments</w:t>
      </w:r>
      <w:r>
        <w:t>’</w:t>
      </w:r>
      <w:r w:rsidRPr="00A90D68">
        <w:t xml:space="preserve">, and typically occur around mass transit systems such as light rail or bus rapid transit.  </w:t>
      </w:r>
      <w:bookmarkStart w:id="16" w:name="OLE_LINK58"/>
      <w:bookmarkStart w:id="17" w:name="OLE_LINK59"/>
    </w:p>
    <w:p w:rsidR="00B42571" w:rsidRDefault="00B42571" w:rsidP="00445B6A">
      <w:pPr>
        <w:autoSpaceDE w:val="0"/>
        <w:autoSpaceDN w:val="0"/>
        <w:adjustRightInd w:val="0"/>
        <w:spacing w:after="120" w:line="240" w:lineRule="auto"/>
        <w:jc w:val="both"/>
      </w:pPr>
      <w:r w:rsidRPr="00A90D68">
        <w:t>Studies h</w:t>
      </w:r>
      <w:r>
        <w:t>ave found residents in transit-</w:t>
      </w:r>
      <w:r w:rsidRPr="00A90D68">
        <w:t xml:space="preserve">oriented developments have 50 percent less car use per household and save around 20 percent of their household income because they need one less car (Newman 2004). </w:t>
      </w:r>
      <w:bookmarkEnd w:id="16"/>
      <w:bookmarkEnd w:id="17"/>
      <w:r>
        <w:t>While Greater Hobart does not have a true mass transit system, there are opportunities to intensify development around high frequency Transit Corridors to create greater demand for the current public transport system.</w:t>
      </w:r>
    </w:p>
    <w:p w:rsidR="00B42571" w:rsidRDefault="00B42571" w:rsidP="00445B6A">
      <w:pPr>
        <w:autoSpaceDE w:val="0"/>
        <w:autoSpaceDN w:val="0"/>
        <w:adjustRightInd w:val="0"/>
        <w:spacing w:after="120" w:line="240" w:lineRule="auto"/>
        <w:jc w:val="both"/>
        <w:rPr>
          <w:rFonts w:eastAsia="LucidaSans"/>
        </w:rPr>
      </w:pPr>
      <w:r>
        <w:rPr>
          <w:rFonts w:eastAsia="LucidaSans"/>
        </w:rPr>
        <w:t xml:space="preserve">Research undertaken by the New Zealand Transport Agency in 2012 also showed </w:t>
      </w:r>
      <w:bookmarkStart w:id="18" w:name="OLE_LINK17"/>
      <w:bookmarkStart w:id="19" w:name="OLE_LINK18"/>
      <w:r>
        <w:rPr>
          <w:rFonts w:eastAsia="LucidaSans"/>
        </w:rPr>
        <w:t xml:space="preserve">that residents of Auckland and Wellington living in inner urban areas are more likely to walk and use public transport for everyday trips, as opposed to using the car.  Households living in these areas are also likely to own fewer cars. </w:t>
      </w:r>
      <w:bookmarkEnd w:id="18"/>
      <w:bookmarkEnd w:id="19"/>
      <w:r>
        <w:rPr>
          <w:rFonts w:eastAsia="LucidaSans"/>
        </w:rPr>
        <w:t xml:space="preserve">The research showed that while </w:t>
      </w:r>
      <w:r w:rsidRPr="000F3DF7">
        <w:rPr>
          <w:rFonts w:eastAsia="LucidaSans"/>
        </w:rPr>
        <w:t xml:space="preserve">density on its own was insufficient to explain </w:t>
      </w:r>
      <w:r>
        <w:rPr>
          <w:rFonts w:eastAsia="LucidaSans"/>
        </w:rPr>
        <w:t>people’s travel behaviour and level of car ownership, when combined with mixed use development there was greater opportunity for residents to walk or catch public transport and drive less than residents who lived in lower density areas with fewer trip attractors.</w:t>
      </w:r>
    </w:p>
    <w:p w:rsidR="00B42571" w:rsidRPr="00445B6A" w:rsidRDefault="00B42571" w:rsidP="00445B6A">
      <w:pPr>
        <w:autoSpaceDE w:val="0"/>
        <w:autoSpaceDN w:val="0"/>
        <w:adjustRightInd w:val="0"/>
        <w:spacing w:after="120" w:line="240" w:lineRule="auto"/>
        <w:jc w:val="both"/>
        <w:rPr>
          <w:rFonts w:eastAsia="LucidaSans"/>
        </w:rPr>
      </w:pPr>
      <w:r>
        <w:t>Increasing densities in urban areas has advantages from an economic perspective, in terms of maximising the use of existing infrastructure such as public transport and physical infrastructure such as water, sewerage, electricity, schools and community facilities. Density also provides economies of scale to support new commercial developments, thus leading to economic renewal in inner urban areas.</w:t>
      </w:r>
    </w:p>
    <w:p w:rsidR="00B42571" w:rsidRPr="0077786C" w:rsidRDefault="00B42571" w:rsidP="00445B6A">
      <w:pPr>
        <w:autoSpaceDE w:val="0"/>
        <w:autoSpaceDN w:val="0"/>
        <w:adjustRightInd w:val="0"/>
        <w:spacing w:after="120" w:line="240" w:lineRule="auto"/>
        <w:jc w:val="both"/>
      </w:pPr>
      <w:r>
        <w:t>Demographic change, such as smaller household size and population ageing, will drive demand for a greater diversity in housing stock. Infill development is more suitable in terms of providing for a diversity of housing needs and meeting the challenges of demographic change, as it provides opportunities for smaller housing close to services rather than building new dwellings in Greenfield sites remote from services.</w:t>
      </w:r>
    </w:p>
    <w:p w:rsidR="00B42571" w:rsidRPr="00515F5B" w:rsidRDefault="00B42571" w:rsidP="00515F5B">
      <w:pPr>
        <w:pStyle w:val="Caption"/>
        <w:jc w:val="both"/>
      </w:pPr>
      <w:r>
        <w:t xml:space="preserve">Figure </w:t>
      </w:r>
      <w:fldSimple w:instr=" SEQ Figure \* ARABIC ">
        <w:r w:rsidR="00214FC0">
          <w:rPr>
            <w:noProof/>
          </w:rPr>
          <w:t>7</w:t>
        </w:r>
      </w:fldSimple>
      <w:r>
        <w:t xml:space="preserve">  The economic, social and environmental benefits of infill and mixed use development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0"/>
        <w:gridCol w:w="3081"/>
        <w:gridCol w:w="3081"/>
      </w:tblGrid>
      <w:tr w:rsidR="00B42571" w:rsidRPr="00E069A3">
        <w:tc>
          <w:tcPr>
            <w:tcW w:w="3080" w:type="dxa"/>
          </w:tcPr>
          <w:p w:rsidR="00B42571" w:rsidRPr="00E069A3" w:rsidRDefault="00B42571" w:rsidP="00E069A3">
            <w:pPr>
              <w:autoSpaceDE w:val="0"/>
              <w:autoSpaceDN w:val="0"/>
              <w:adjustRightInd w:val="0"/>
              <w:spacing w:after="120" w:line="240" w:lineRule="auto"/>
              <w:jc w:val="both"/>
              <w:rPr>
                <w:b/>
                <w:bCs/>
                <w:sz w:val="18"/>
                <w:szCs w:val="18"/>
              </w:rPr>
            </w:pPr>
            <w:r w:rsidRPr="00E069A3">
              <w:rPr>
                <w:b/>
                <w:bCs/>
                <w:sz w:val="18"/>
                <w:szCs w:val="18"/>
              </w:rPr>
              <w:t>Economic</w:t>
            </w:r>
          </w:p>
        </w:tc>
        <w:tc>
          <w:tcPr>
            <w:tcW w:w="3081" w:type="dxa"/>
          </w:tcPr>
          <w:p w:rsidR="00B42571" w:rsidRPr="00E069A3" w:rsidRDefault="00B42571" w:rsidP="00E069A3">
            <w:pPr>
              <w:autoSpaceDE w:val="0"/>
              <w:autoSpaceDN w:val="0"/>
              <w:adjustRightInd w:val="0"/>
              <w:spacing w:after="120" w:line="240" w:lineRule="auto"/>
              <w:jc w:val="both"/>
              <w:rPr>
                <w:b/>
                <w:bCs/>
                <w:sz w:val="18"/>
                <w:szCs w:val="18"/>
              </w:rPr>
            </w:pPr>
            <w:r w:rsidRPr="00E069A3">
              <w:rPr>
                <w:b/>
                <w:bCs/>
                <w:sz w:val="18"/>
                <w:szCs w:val="18"/>
              </w:rPr>
              <w:t>Social</w:t>
            </w:r>
          </w:p>
        </w:tc>
        <w:tc>
          <w:tcPr>
            <w:tcW w:w="3081" w:type="dxa"/>
          </w:tcPr>
          <w:p w:rsidR="00B42571" w:rsidRPr="00E069A3" w:rsidRDefault="00B42571" w:rsidP="00E069A3">
            <w:pPr>
              <w:autoSpaceDE w:val="0"/>
              <w:autoSpaceDN w:val="0"/>
              <w:adjustRightInd w:val="0"/>
              <w:spacing w:after="120" w:line="240" w:lineRule="auto"/>
              <w:jc w:val="both"/>
              <w:rPr>
                <w:b/>
                <w:bCs/>
                <w:sz w:val="18"/>
                <w:szCs w:val="18"/>
              </w:rPr>
            </w:pPr>
            <w:r w:rsidRPr="00E069A3">
              <w:rPr>
                <w:b/>
                <w:bCs/>
                <w:sz w:val="18"/>
                <w:szCs w:val="18"/>
              </w:rPr>
              <w:t>Environmental</w:t>
            </w:r>
          </w:p>
        </w:tc>
      </w:tr>
      <w:tr w:rsidR="00B42571" w:rsidRPr="00E069A3">
        <w:tc>
          <w:tcPr>
            <w:tcW w:w="3080"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Redeveloping underutilised inner urban land for higher order land uses resulting in urban renewal of inner urban areas.</w:t>
            </w:r>
          </w:p>
        </w:tc>
        <w:tc>
          <w:tcPr>
            <w:tcW w:w="3081"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Meeting the demand for affordable housing and providing opportunities for greater diversity of housing choice in locations with good access to services and public transport.</w:t>
            </w:r>
          </w:p>
        </w:tc>
        <w:tc>
          <w:tcPr>
            <w:tcW w:w="3081" w:type="dxa"/>
          </w:tcPr>
          <w:p w:rsidR="00B42571" w:rsidRPr="00E069A3" w:rsidRDefault="00B42571" w:rsidP="00E069A3">
            <w:pPr>
              <w:autoSpaceDE w:val="0"/>
              <w:autoSpaceDN w:val="0"/>
              <w:adjustRightInd w:val="0"/>
              <w:spacing w:after="120" w:line="240" w:lineRule="auto"/>
              <w:rPr>
                <w:sz w:val="18"/>
                <w:szCs w:val="18"/>
              </w:rPr>
            </w:pPr>
            <w:r w:rsidRPr="00E069A3">
              <w:rPr>
                <w:sz w:val="18"/>
                <w:szCs w:val="18"/>
              </w:rPr>
              <w:t>Minimising the impacts of urban development on biodiversity, habitat loss, reduced water quality and loss of productive agricultural land.</w:t>
            </w:r>
          </w:p>
        </w:tc>
      </w:tr>
      <w:tr w:rsidR="00B42571" w:rsidRPr="00E069A3">
        <w:tc>
          <w:tcPr>
            <w:tcW w:w="3080" w:type="dxa"/>
          </w:tcPr>
          <w:p w:rsidR="00B42571" w:rsidRPr="00E069A3" w:rsidRDefault="00B42571" w:rsidP="00E069A3">
            <w:pPr>
              <w:spacing w:after="0" w:line="240" w:lineRule="auto"/>
              <w:rPr>
                <w:sz w:val="18"/>
                <w:szCs w:val="18"/>
              </w:rPr>
            </w:pPr>
            <w:r w:rsidRPr="00E069A3">
              <w:rPr>
                <w:sz w:val="18"/>
                <w:szCs w:val="18"/>
              </w:rPr>
              <w:t xml:space="preserve">More efficient use of existing infrastructure by concentrating users and transport services in more compact areas, rather than </w:t>
            </w:r>
            <w:r w:rsidRPr="00E069A3">
              <w:rPr>
                <w:sz w:val="18"/>
                <w:szCs w:val="18"/>
              </w:rPr>
              <w:lastRenderedPageBreak/>
              <w:t>providing new infrastructure to low density areas.</w:t>
            </w:r>
          </w:p>
          <w:p w:rsidR="00B42571" w:rsidRPr="00E069A3" w:rsidRDefault="00B42571" w:rsidP="00E069A3">
            <w:pPr>
              <w:spacing w:after="0" w:line="240" w:lineRule="auto"/>
              <w:rPr>
                <w:sz w:val="18"/>
                <w:szCs w:val="18"/>
              </w:rPr>
            </w:pPr>
          </w:p>
          <w:p w:rsidR="00B42571" w:rsidRPr="00E069A3" w:rsidRDefault="00B42571" w:rsidP="00E069A3">
            <w:pPr>
              <w:widowControl w:val="0"/>
              <w:autoSpaceDE w:val="0"/>
              <w:autoSpaceDN w:val="0"/>
              <w:adjustRightInd w:val="0"/>
              <w:spacing w:after="0" w:line="280" w:lineRule="exact"/>
              <w:ind w:left="1418"/>
              <w:rPr>
                <w:sz w:val="18"/>
                <w:szCs w:val="18"/>
              </w:rPr>
            </w:pPr>
          </w:p>
        </w:tc>
        <w:tc>
          <w:tcPr>
            <w:tcW w:w="3081" w:type="dxa"/>
          </w:tcPr>
          <w:p w:rsidR="00B42571" w:rsidRPr="00E069A3" w:rsidRDefault="00B42571" w:rsidP="00E069A3">
            <w:pPr>
              <w:autoSpaceDE w:val="0"/>
              <w:autoSpaceDN w:val="0"/>
              <w:adjustRightInd w:val="0"/>
              <w:spacing w:after="120" w:line="240" w:lineRule="auto"/>
              <w:rPr>
                <w:color w:val="000000"/>
                <w:sz w:val="18"/>
                <w:szCs w:val="18"/>
              </w:rPr>
            </w:pPr>
            <w:r w:rsidRPr="00E069A3">
              <w:rPr>
                <w:color w:val="000000"/>
                <w:sz w:val="18"/>
                <w:szCs w:val="18"/>
              </w:rPr>
              <w:lastRenderedPageBreak/>
              <w:t xml:space="preserve">A more accessible and connected community with better access to services which will reduce social </w:t>
            </w:r>
            <w:r w:rsidRPr="00E069A3">
              <w:rPr>
                <w:color w:val="000000"/>
                <w:sz w:val="18"/>
                <w:szCs w:val="18"/>
              </w:rPr>
              <w:lastRenderedPageBreak/>
              <w:t>exclusion.</w:t>
            </w:r>
          </w:p>
          <w:p w:rsidR="00B42571" w:rsidRPr="00E069A3" w:rsidRDefault="00B42571" w:rsidP="00E069A3">
            <w:pPr>
              <w:spacing w:after="0" w:line="240" w:lineRule="auto"/>
              <w:rPr>
                <w:sz w:val="18"/>
                <w:szCs w:val="18"/>
              </w:rPr>
            </w:pPr>
          </w:p>
        </w:tc>
        <w:tc>
          <w:tcPr>
            <w:tcW w:w="3081" w:type="dxa"/>
          </w:tcPr>
          <w:p w:rsidR="00B42571" w:rsidRPr="00E069A3" w:rsidRDefault="00B42571" w:rsidP="00E069A3">
            <w:pPr>
              <w:spacing w:after="0" w:line="240" w:lineRule="auto"/>
              <w:rPr>
                <w:sz w:val="18"/>
                <w:szCs w:val="18"/>
              </w:rPr>
            </w:pPr>
            <w:r w:rsidRPr="00E069A3">
              <w:rPr>
                <w:sz w:val="18"/>
                <w:szCs w:val="18"/>
              </w:rPr>
              <w:lastRenderedPageBreak/>
              <w:t xml:space="preserve">Reduction in greenhouse gas emissions by reducing reliance on the car for travel, as alternative modes of transport are more </w:t>
            </w:r>
            <w:r w:rsidRPr="00E069A3">
              <w:rPr>
                <w:sz w:val="18"/>
                <w:szCs w:val="18"/>
              </w:rPr>
              <w:lastRenderedPageBreak/>
              <w:t>accessible.</w:t>
            </w:r>
          </w:p>
          <w:p w:rsidR="00B42571" w:rsidRPr="00E069A3" w:rsidRDefault="00B42571" w:rsidP="00E069A3">
            <w:pPr>
              <w:autoSpaceDE w:val="0"/>
              <w:autoSpaceDN w:val="0"/>
              <w:adjustRightInd w:val="0"/>
              <w:spacing w:after="120" w:line="240" w:lineRule="auto"/>
              <w:rPr>
                <w:sz w:val="18"/>
                <w:szCs w:val="18"/>
              </w:rPr>
            </w:pPr>
          </w:p>
        </w:tc>
      </w:tr>
      <w:tr w:rsidR="00B42571" w:rsidRPr="00E069A3">
        <w:tc>
          <w:tcPr>
            <w:tcW w:w="3080" w:type="dxa"/>
          </w:tcPr>
          <w:p w:rsidR="00B42571" w:rsidRPr="00E069A3" w:rsidRDefault="00B42571" w:rsidP="00E069A3">
            <w:pPr>
              <w:spacing w:after="0" w:line="240" w:lineRule="auto"/>
              <w:rPr>
                <w:sz w:val="18"/>
                <w:szCs w:val="18"/>
              </w:rPr>
            </w:pPr>
            <w:r w:rsidRPr="00E069A3">
              <w:rPr>
                <w:sz w:val="18"/>
                <w:szCs w:val="18"/>
              </w:rPr>
              <w:lastRenderedPageBreak/>
              <w:t xml:space="preserve">As density increases, the cost of infrastructure per dwelling decreases. Infrastructure costs also tend to be higher in servicing outer urban areas as a result of distance and lower densities. </w:t>
            </w:r>
          </w:p>
        </w:tc>
        <w:tc>
          <w:tcPr>
            <w:tcW w:w="3081" w:type="dxa"/>
          </w:tcPr>
          <w:p w:rsidR="00B42571" w:rsidRPr="00E069A3" w:rsidRDefault="00B42571" w:rsidP="00E069A3">
            <w:pPr>
              <w:autoSpaceDE w:val="0"/>
              <w:autoSpaceDN w:val="0"/>
              <w:adjustRightInd w:val="0"/>
              <w:spacing w:after="0" w:line="240" w:lineRule="auto"/>
              <w:rPr>
                <w:color w:val="000000"/>
                <w:sz w:val="18"/>
                <w:szCs w:val="18"/>
              </w:rPr>
            </w:pPr>
            <w:r w:rsidRPr="00E069A3">
              <w:rPr>
                <w:color w:val="000000"/>
                <w:sz w:val="18"/>
                <w:szCs w:val="18"/>
              </w:rPr>
              <w:t>A more liveable and vibrant community with a greater proportion of people living close to services and activities.</w:t>
            </w:r>
          </w:p>
          <w:p w:rsidR="00B42571" w:rsidRPr="00E069A3" w:rsidRDefault="00B42571" w:rsidP="00E069A3">
            <w:pPr>
              <w:spacing w:after="0" w:line="240" w:lineRule="auto"/>
              <w:rPr>
                <w:sz w:val="18"/>
                <w:szCs w:val="18"/>
              </w:rPr>
            </w:pPr>
          </w:p>
        </w:tc>
        <w:tc>
          <w:tcPr>
            <w:tcW w:w="3081" w:type="dxa"/>
          </w:tcPr>
          <w:p w:rsidR="00B42571" w:rsidRPr="00E069A3" w:rsidRDefault="00B42571" w:rsidP="00E069A3">
            <w:pPr>
              <w:spacing w:after="0" w:line="240" w:lineRule="auto"/>
              <w:rPr>
                <w:sz w:val="18"/>
                <w:szCs w:val="18"/>
              </w:rPr>
            </w:pPr>
          </w:p>
        </w:tc>
      </w:tr>
      <w:tr w:rsidR="00B42571" w:rsidRPr="00E069A3">
        <w:tc>
          <w:tcPr>
            <w:tcW w:w="3080" w:type="dxa"/>
          </w:tcPr>
          <w:p w:rsidR="00B42571" w:rsidRPr="00E069A3" w:rsidRDefault="00B42571" w:rsidP="00E069A3">
            <w:pPr>
              <w:widowControl w:val="0"/>
              <w:autoSpaceDE w:val="0"/>
              <w:autoSpaceDN w:val="0"/>
              <w:adjustRightInd w:val="0"/>
              <w:spacing w:after="0" w:line="218" w:lineRule="exact"/>
              <w:rPr>
                <w:color w:val="000000"/>
                <w:sz w:val="18"/>
                <w:szCs w:val="18"/>
              </w:rPr>
            </w:pPr>
            <w:r>
              <w:rPr>
                <w:color w:val="000000"/>
                <w:sz w:val="18"/>
                <w:szCs w:val="18"/>
              </w:rPr>
              <w:t>Provision of new infrastructure has o</w:t>
            </w:r>
            <w:r w:rsidRPr="00E069A3">
              <w:rPr>
                <w:color w:val="000000"/>
                <w:sz w:val="18"/>
                <w:szCs w:val="18"/>
              </w:rPr>
              <w:t>ngoing costs associated with operating and maintenance. While developers may contribute towards the cost of new infrastructure, they are not responsible for ongoing maintenance and operating costs.</w:t>
            </w:r>
          </w:p>
        </w:tc>
        <w:tc>
          <w:tcPr>
            <w:tcW w:w="3081" w:type="dxa"/>
          </w:tcPr>
          <w:p w:rsidR="00B42571" w:rsidRPr="00E069A3" w:rsidRDefault="00B42571" w:rsidP="00E069A3">
            <w:pPr>
              <w:autoSpaceDE w:val="0"/>
              <w:autoSpaceDN w:val="0"/>
              <w:adjustRightInd w:val="0"/>
              <w:spacing w:after="0" w:line="240" w:lineRule="auto"/>
              <w:rPr>
                <w:sz w:val="18"/>
                <w:szCs w:val="18"/>
              </w:rPr>
            </w:pPr>
            <w:r w:rsidRPr="00E069A3">
              <w:rPr>
                <w:sz w:val="18"/>
                <w:szCs w:val="18"/>
              </w:rPr>
              <w:t>A more healthy community by providing people with opportunities to walk or cycle as part of daily trip making.</w:t>
            </w:r>
          </w:p>
        </w:tc>
        <w:tc>
          <w:tcPr>
            <w:tcW w:w="3081" w:type="dxa"/>
          </w:tcPr>
          <w:p w:rsidR="00B42571" w:rsidRPr="00E069A3" w:rsidRDefault="00B42571" w:rsidP="00E069A3">
            <w:pPr>
              <w:spacing w:after="0" w:line="240" w:lineRule="auto"/>
              <w:rPr>
                <w:sz w:val="18"/>
                <w:szCs w:val="18"/>
              </w:rPr>
            </w:pPr>
          </w:p>
        </w:tc>
      </w:tr>
      <w:tr w:rsidR="00B42571" w:rsidRPr="00E069A3">
        <w:tc>
          <w:tcPr>
            <w:tcW w:w="3080" w:type="dxa"/>
          </w:tcPr>
          <w:p w:rsidR="00B42571" w:rsidRPr="00E069A3" w:rsidRDefault="00B42571" w:rsidP="00E069A3">
            <w:pPr>
              <w:autoSpaceDE w:val="0"/>
              <w:autoSpaceDN w:val="0"/>
              <w:adjustRightInd w:val="0"/>
              <w:spacing w:after="0" w:line="240" w:lineRule="auto"/>
              <w:rPr>
                <w:sz w:val="18"/>
                <w:szCs w:val="18"/>
              </w:rPr>
            </w:pPr>
            <w:bookmarkStart w:id="20" w:name="OLE_LINK5"/>
            <w:bookmarkStart w:id="21" w:name="OLE_LINK6"/>
            <w:r w:rsidRPr="00E069A3">
              <w:rPr>
                <w:sz w:val="18"/>
                <w:szCs w:val="18"/>
              </w:rPr>
              <w:t>A higher population density will generate a greater market demand to support existing and new businesses and make public transport services more economically viable.</w:t>
            </w:r>
            <w:bookmarkEnd w:id="20"/>
            <w:bookmarkEnd w:id="21"/>
          </w:p>
        </w:tc>
        <w:tc>
          <w:tcPr>
            <w:tcW w:w="3081" w:type="dxa"/>
          </w:tcPr>
          <w:p w:rsidR="00B42571" w:rsidRPr="00E069A3" w:rsidRDefault="00B42571" w:rsidP="00E069A3">
            <w:pPr>
              <w:autoSpaceDE w:val="0"/>
              <w:autoSpaceDN w:val="0"/>
              <w:adjustRightInd w:val="0"/>
              <w:spacing w:after="0" w:line="240" w:lineRule="auto"/>
              <w:rPr>
                <w:sz w:val="18"/>
                <w:szCs w:val="18"/>
              </w:rPr>
            </w:pPr>
          </w:p>
        </w:tc>
        <w:tc>
          <w:tcPr>
            <w:tcW w:w="3081" w:type="dxa"/>
          </w:tcPr>
          <w:p w:rsidR="00B42571" w:rsidRPr="00E069A3" w:rsidRDefault="00B42571" w:rsidP="00E069A3">
            <w:pPr>
              <w:spacing w:after="0" w:line="240" w:lineRule="auto"/>
              <w:rPr>
                <w:sz w:val="18"/>
                <w:szCs w:val="18"/>
              </w:rPr>
            </w:pPr>
          </w:p>
        </w:tc>
      </w:tr>
      <w:tr w:rsidR="00B42571" w:rsidRPr="00E069A3">
        <w:tc>
          <w:tcPr>
            <w:tcW w:w="3080" w:type="dxa"/>
          </w:tcPr>
          <w:p w:rsidR="00B42571" w:rsidRPr="00E069A3" w:rsidRDefault="00B42571" w:rsidP="00E069A3">
            <w:pPr>
              <w:autoSpaceDE w:val="0"/>
              <w:autoSpaceDN w:val="0"/>
              <w:adjustRightInd w:val="0"/>
              <w:spacing w:after="0" w:line="240" w:lineRule="auto"/>
              <w:rPr>
                <w:color w:val="000000"/>
                <w:sz w:val="18"/>
                <w:szCs w:val="18"/>
              </w:rPr>
            </w:pPr>
            <w:r w:rsidRPr="00E069A3">
              <w:rPr>
                <w:color w:val="000000"/>
                <w:sz w:val="18"/>
                <w:szCs w:val="18"/>
              </w:rPr>
              <w:t>Reducing exposure to oil price vulnerability by providing people with more accessible transport choices.</w:t>
            </w:r>
          </w:p>
        </w:tc>
        <w:tc>
          <w:tcPr>
            <w:tcW w:w="3081" w:type="dxa"/>
          </w:tcPr>
          <w:p w:rsidR="00B42571" w:rsidRPr="00E069A3" w:rsidRDefault="00B42571" w:rsidP="00E069A3">
            <w:pPr>
              <w:spacing w:after="0" w:line="240" w:lineRule="auto"/>
              <w:rPr>
                <w:sz w:val="18"/>
                <w:szCs w:val="18"/>
              </w:rPr>
            </w:pPr>
          </w:p>
        </w:tc>
        <w:tc>
          <w:tcPr>
            <w:tcW w:w="3081" w:type="dxa"/>
          </w:tcPr>
          <w:p w:rsidR="00B42571" w:rsidRPr="00E069A3" w:rsidRDefault="00B42571" w:rsidP="00E069A3">
            <w:pPr>
              <w:spacing w:after="0" w:line="240" w:lineRule="auto"/>
              <w:rPr>
                <w:sz w:val="18"/>
                <w:szCs w:val="18"/>
              </w:rPr>
            </w:pPr>
          </w:p>
          <w:p w:rsidR="00B42571" w:rsidRPr="00E069A3" w:rsidRDefault="00B42571" w:rsidP="00E069A3">
            <w:pPr>
              <w:autoSpaceDE w:val="0"/>
              <w:autoSpaceDN w:val="0"/>
              <w:adjustRightInd w:val="0"/>
              <w:spacing w:after="0" w:line="240" w:lineRule="auto"/>
              <w:rPr>
                <w:sz w:val="18"/>
                <w:szCs w:val="18"/>
              </w:rPr>
            </w:pPr>
          </w:p>
        </w:tc>
      </w:tr>
      <w:tr w:rsidR="00B42571" w:rsidRPr="00E069A3">
        <w:tc>
          <w:tcPr>
            <w:tcW w:w="3080" w:type="dxa"/>
          </w:tcPr>
          <w:p w:rsidR="00B42571" w:rsidRPr="00E069A3" w:rsidRDefault="00B42571" w:rsidP="00E069A3">
            <w:pPr>
              <w:autoSpaceDE w:val="0"/>
              <w:autoSpaceDN w:val="0"/>
              <w:adjustRightInd w:val="0"/>
              <w:spacing w:after="0" w:line="240" w:lineRule="auto"/>
              <w:rPr>
                <w:sz w:val="18"/>
                <w:szCs w:val="18"/>
              </w:rPr>
            </w:pPr>
            <w:r w:rsidRPr="00E069A3">
              <w:rPr>
                <w:sz w:val="18"/>
                <w:szCs w:val="18"/>
              </w:rPr>
              <w:t xml:space="preserve">Reduction in travel costs and car ownership levels means people have more disposable income to spend on other activities. </w:t>
            </w:r>
          </w:p>
        </w:tc>
        <w:tc>
          <w:tcPr>
            <w:tcW w:w="3081" w:type="dxa"/>
          </w:tcPr>
          <w:p w:rsidR="00B42571" w:rsidRPr="00E069A3" w:rsidRDefault="00B42571" w:rsidP="00E069A3">
            <w:pPr>
              <w:autoSpaceDE w:val="0"/>
              <w:autoSpaceDN w:val="0"/>
              <w:adjustRightInd w:val="0"/>
              <w:spacing w:after="120" w:line="240" w:lineRule="auto"/>
              <w:rPr>
                <w:sz w:val="18"/>
                <w:szCs w:val="18"/>
              </w:rPr>
            </w:pPr>
          </w:p>
        </w:tc>
        <w:tc>
          <w:tcPr>
            <w:tcW w:w="3081" w:type="dxa"/>
          </w:tcPr>
          <w:p w:rsidR="00B42571" w:rsidRPr="00E069A3" w:rsidRDefault="00B42571" w:rsidP="00E069A3">
            <w:pPr>
              <w:autoSpaceDE w:val="0"/>
              <w:autoSpaceDN w:val="0"/>
              <w:adjustRightInd w:val="0"/>
              <w:spacing w:after="0" w:line="240" w:lineRule="auto"/>
              <w:rPr>
                <w:sz w:val="18"/>
                <w:szCs w:val="18"/>
              </w:rPr>
            </w:pPr>
          </w:p>
        </w:tc>
      </w:tr>
    </w:tbl>
    <w:p w:rsidR="00B42571" w:rsidRDefault="00B42571" w:rsidP="00092238">
      <w:pPr>
        <w:autoSpaceDE w:val="0"/>
        <w:autoSpaceDN w:val="0"/>
        <w:adjustRightInd w:val="0"/>
        <w:spacing w:after="0" w:line="240" w:lineRule="auto"/>
        <w:rPr>
          <w:rFonts w:ascii="LucidaSans" w:eastAsia="LucidaSans" w:hAnsi="Calibri"/>
          <w:sz w:val="18"/>
          <w:szCs w:val="18"/>
        </w:rPr>
      </w:pPr>
    </w:p>
    <w:p w:rsidR="00B42571" w:rsidRDefault="00B42571" w:rsidP="0077786C">
      <w:pPr>
        <w:pStyle w:val="Heading2"/>
        <w:rPr>
          <w:rFonts w:eastAsia="LucidaSans"/>
        </w:rPr>
      </w:pPr>
      <w:bookmarkStart w:id="22" w:name="_Toc326919246"/>
      <w:r>
        <w:rPr>
          <w:rFonts w:eastAsia="LucidaSans"/>
        </w:rPr>
        <w:t>Cost of infill development</w:t>
      </w:r>
      <w:bookmarkEnd w:id="22"/>
    </w:p>
    <w:p w:rsidR="00B42571" w:rsidRPr="00937E85" w:rsidRDefault="00B42571" w:rsidP="002A5526">
      <w:pPr>
        <w:widowControl w:val="0"/>
        <w:autoSpaceDE w:val="0"/>
        <w:autoSpaceDN w:val="0"/>
        <w:adjustRightInd w:val="0"/>
        <w:spacing w:after="120" w:line="240" w:lineRule="auto"/>
        <w:jc w:val="both"/>
      </w:pPr>
      <w:r w:rsidRPr="00937E85">
        <w:t>Recent research by Curtin University of Technology and Parsons</w:t>
      </w:r>
      <w:r>
        <w:t xml:space="preserve"> </w:t>
      </w:r>
      <w:r w:rsidRPr="00937E85">
        <w:t xml:space="preserve">Brinckerhoff highlighted the cost of fringe residential development versus </w:t>
      </w:r>
      <w:r>
        <w:t>infill</w:t>
      </w:r>
      <w:r w:rsidRPr="00937E85">
        <w:t xml:space="preserve">. </w:t>
      </w:r>
      <w:r>
        <w:t>The cost</w:t>
      </w:r>
      <w:r w:rsidRPr="00937E85">
        <w:t xml:space="preserve"> </w:t>
      </w:r>
      <w:r>
        <w:t>of</w:t>
      </w:r>
      <w:r w:rsidRPr="00937E85">
        <w:t xml:space="preserve"> infrastructure provision </w:t>
      </w:r>
      <w:r>
        <w:t>was</w:t>
      </w:r>
      <w:r w:rsidRPr="00937E85">
        <w:t xml:space="preserve"> drawn </w:t>
      </w:r>
      <w:r>
        <w:t>from a study called ‘</w:t>
      </w:r>
      <w:r w:rsidRPr="00A55AEB">
        <w:rPr>
          <w:color w:val="000000"/>
        </w:rPr>
        <w:t>Future Perth</w:t>
      </w:r>
      <w:r>
        <w:rPr>
          <w:color w:val="000000"/>
        </w:rPr>
        <w:t>’,</w:t>
      </w:r>
      <w:r w:rsidRPr="00A55AEB">
        <w:rPr>
          <w:color w:val="000000"/>
        </w:rPr>
        <w:t xml:space="preserve"> which gathered data from</w:t>
      </w:r>
      <w:r>
        <w:rPr>
          <w:rFonts w:ascii="Verdana" w:hAnsi="Verdana" w:cs="Verdana"/>
          <w:color w:val="000000"/>
          <w:sz w:val="18"/>
          <w:szCs w:val="18"/>
        </w:rPr>
        <w:t xml:space="preserve"> </w:t>
      </w:r>
      <w:r>
        <w:t>case</w:t>
      </w:r>
      <w:r w:rsidRPr="00937E85">
        <w:t xml:space="preserve"> studies </w:t>
      </w:r>
      <w:r>
        <w:t xml:space="preserve">in </w:t>
      </w:r>
      <w:r w:rsidRPr="00937E85">
        <w:t>Unite</w:t>
      </w:r>
      <w:r>
        <w:t xml:space="preserve">d States, Canada, and Australia. The report found that the cost to service new lots in terms of provision of </w:t>
      </w:r>
      <w:r w:rsidRPr="00937E85">
        <w:t>utilities,</w:t>
      </w:r>
      <w:r>
        <w:t xml:space="preserve"> </w:t>
      </w:r>
      <w:r w:rsidRPr="00937E85">
        <w:t xml:space="preserve">community services and </w:t>
      </w:r>
      <w:r>
        <w:t xml:space="preserve">transport by Government in Australia was: </w:t>
      </w:r>
    </w:p>
    <w:p w:rsidR="00B42571" w:rsidRDefault="00B42571" w:rsidP="002A5526">
      <w:pPr>
        <w:pStyle w:val="ListParagraph"/>
        <w:numPr>
          <w:ilvl w:val="0"/>
          <w:numId w:val="22"/>
        </w:numPr>
        <w:autoSpaceDE w:val="0"/>
        <w:autoSpaceDN w:val="0"/>
        <w:adjustRightInd w:val="0"/>
        <w:spacing w:after="120" w:line="240" w:lineRule="auto"/>
        <w:jc w:val="both"/>
      </w:pPr>
      <w:r>
        <w:t>Urban fringe: $80,000 per lot.</w:t>
      </w:r>
    </w:p>
    <w:p w:rsidR="00B42571" w:rsidRDefault="00B42571" w:rsidP="002A5526">
      <w:pPr>
        <w:pStyle w:val="ListParagraph"/>
        <w:numPr>
          <w:ilvl w:val="0"/>
          <w:numId w:val="22"/>
        </w:numPr>
        <w:autoSpaceDE w:val="0"/>
        <w:autoSpaceDN w:val="0"/>
        <w:adjustRightInd w:val="0"/>
        <w:spacing w:after="120" w:line="240" w:lineRule="auto"/>
        <w:jc w:val="both"/>
      </w:pPr>
      <w:r>
        <w:t xml:space="preserve">Infill development: </w:t>
      </w:r>
      <w:r w:rsidRPr="00937E85">
        <w:t>$26,000</w:t>
      </w:r>
      <w:r>
        <w:t xml:space="preserve"> per lot</w:t>
      </w:r>
      <w:r w:rsidRPr="00937E85">
        <w:t>.</w:t>
      </w:r>
    </w:p>
    <w:p w:rsidR="00B42571" w:rsidRPr="002A5526" w:rsidRDefault="00B42571" w:rsidP="002A5526">
      <w:pPr>
        <w:widowControl w:val="0"/>
        <w:autoSpaceDE w:val="0"/>
        <w:autoSpaceDN w:val="0"/>
        <w:adjustRightInd w:val="0"/>
        <w:spacing w:after="120" w:line="240" w:lineRule="auto"/>
        <w:jc w:val="both"/>
        <w:rPr>
          <w:color w:val="000000"/>
        </w:rPr>
      </w:pPr>
      <w:r w:rsidRPr="006A0AA7">
        <w:rPr>
          <w:color w:val="000000"/>
        </w:rPr>
        <w:t xml:space="preserve">While developers do pay contributions towards the cost of servicing new lots, </w:t>
      </w:r>
      <w:r>
        <w:rPr>
          <w:color w:val="000000"/>
        </w:rPr>
        <w:t xml:space="preserve">the contributions do not reflect the true cost of infrastructure provision, particularly the cumulative impacts on transport networks and provision of public transport.  In Tasmania there is not a consistent ‘headworks’ policy across local Government, or even within State Government agencies. </w:t>
      </w:r>
    </w:p>
    <w:p w:rsidR="00B42571" w:rsidRPr="006A0AA7" w:rsidRDefault="00B42571" w:rsidP="002A5526">
      <w:pPr>
        <w:widowControl w:val="0"/>
        <w:autoSpaceDE w:val="0"/>
        <w:autoSpaceDN w:val="0"/>
        <w:adjustRightInd w:val="0"/>
        <w:spacing w:after="120" w:line="240" w:lineRule="auto"/>
        <w:jc w:val="both"/>
        <w:rPr>
          <w:color w:val="000000"/>
        </w:rPr>
      </w:pPr>
      <w:r w:rsidRPr="00125761">
        <w:rPr>
          <w:color w:val="000000"/>
        </w:rPr>
        <w:t xml:space="preserve">The </w:t>
      </w:r>
      <w:r w:rsidRPr="00937E85">
        <w:t xml:space="preserve">Curtin University </w:t>
      </w:r>
      <w:r w:rsidRPr="00125761">
        <w:rPr>
          <w:color w:val="000000"/>
        </w:rPr>
        <w:t>report highlighted</w:t>
      </w:r>
      <w:r>
        <w:rPr>
          <w:color w:val="000000"/>
        </w:rPr>
        <w:t>,</w:t>
      </w:r>
      <w:r w:rsidRPr="00125761">
        <w:rPr>
          <w:color w:val="000000"/>
        </w:rPr>
        <w:t xml:space="preserve"> that as density increases</w:t>
      </w:r>
      <w:r>
        <w:rPr>
          <w:color w:val="000000"/>
        </w:rPr>
        <w:t>,</w:t>
      </w:r>
      <w:r w:rsidRPr="00125761">
        <w:rPr>
          <w:color w:val="000000"/>
        </w:rPr>
        <w:t xml:space="preserve"> the infrastructure costs </w:t>
      </w:r>
      <w:r>
        <w:rPr>
          <w:color w:val="000000"/>
        </w:rPr>
        <w:t>per dwelling decrease through</w:t>
      </w:r>
      <w:r>
        <w:t xml:space="preserve"> either utilis</w:t>
      </w:r>
      <w:r w:rsidRPr="00125761">
        <w:t>ing excess capacity or requiring</w:t>
      </w:r>
      <w:r>
        <w:t xml:space="preserve"> </w:t>
      </w:r>
      <w:r w:rsidRPr="00125761">
        <w:t xml:space="preserve">less of the service </w:t>
      </w:r>
      <w:r>
        <w:t>(</w:t>
      </w:r>
      <w:r w:rsidRPr="00125761">
        <w:t>because of shorter distances and greater compactness</w:t>
      </w:r>
      <w:r>
        <w:t>)</w:t>
      </w:r>
      <w:r w:rsidRPr="00125761">
        <w:t>.</w:t>
      </w:r>
    </w:p>
    <w:p w:rsidR="00B42571" w:rsidRPr="00A33CA3" w:rsidRDefault="00B42571" w:rsidP="002A5526">
      <w:pPr>
        <w:autoSpaceDE w:val="0"/>
        <w:autoSpaceDN w:val="0"/>
        <w:adjustRightInd w:val="0"/>
        <w:spacing w:after="120" w:line="240" w:lineRule="auto"/>
        <w:jc w:val="both"/>
      </w:pPr>
      <w:r w:rsidRPr="00125761">
        <w:t>Ba</w:t>
      </w:r>
      <w:r>
        <w:t>sed on research by SGS in 2003,</w:t>
      </w:r>
      <w:r w:rsidRPr="00125761">
        <w:t xml:space="preserve"> road construction is the most significant infrastructure </w:t>
      </w:r>
      <w:r>
        <w:t xml:space="preserve">cost between </w:t>
      </w:r>
      <w:r w:rsidRPr="00125761">
        <w:t>fringe and infill development</w:t>
      </w:r>
      <w:r>
        <w:t xml:space="preserve">, with costs being 50 percent higher for urban fringe development. </w:t>
      </w:r>
    </w:p>
    <w:p w:rsidR="00B42571" w:rsidRDefault="00B42571" w:rsidP="002A5526">
      <w:pPr>
        <w:autoSpaceDE w:val="0"/>
        <w:autoSpaceDN w:val="0"/>
        <w:adjustRightInd w:val="0"/>
        <w:spacing w:after="120" w:line="240" w:lineRule="auto"/>
        <w:jc w:val="both"/>
      </w:pPr>
      <w:r>
        <w:t xml:space="preserve">While the cost of infill development may be less expensive to Government, the cost of constructing an infill dwelling is often more expensive for the developer than constructing an </w:t>
      </w:r>
      <w:r>
        <w:lastRenderedPageBreak/>
        <w:t xml:space="preserve">average Greenfield dwelling. Research by the National Australian Housing Supply Council in 2010 highlighted that an average infill dwelling costs around $136 400 more to construct than an equivalent Greenfield dwelling. </w:t>
      </w:r>
    </w:p>
    <w:p w:rsidR="00B42571" w:rsidRDefault="00B42571" w:rsidP="002C0EE5">
      <w:pPr>
        <w:autoSpaceDE w:val="0"/>
        <w:autoSpaceDN w:val="0"/>
        <w:adjustRightInd w:val="0"/>
        <w:spacing w:after="120" w:line="240" w:lineRule="auto"/>
        <w:jc w:val="both"/>
      </w:pPr>
      <w:r>
        <w:t xml:space="preserve">The main reasons for this cost difference are: </w:t>
      </w:r>
    </w:p>
    <w:p w:rsidR="00B42571" w:rsidRPr="003A79D9" w:rsidRDefault="00B42571" w:rsidP="002C0EE5">
      <w:pPr>
        <w:pStyle w:val="ListParagraph"/>
        <w:numPr>
          <w:ilvl w:val="0"/>
          <w:numId w:val="23"/>
        </w:numPr>
        <w:spacing w:after="120" w:line="240" w:lineRule="auto"/>
        <w:jc w:val="both"/>
        <w:rPr>
          <w:lang w:eastAsia="en-AU"/>
        </w:rPr>
      </w:pPr>
      <w:r>
        <w:rPr>
          <w:lang w:eastAsia="en-AU"/>
        </w:rPr>
        <w:t>H</w:t>
      </w:r>
      <w:r w:rsidRPr="003A79D9">
        <w:rPr>
          <w:lang w:eastAsia="en-AU"/>
        </w:rPr>
        <w:t>igher</w:t>
      </w:r>
      <w:r>
        <w:rPr>
          <w:lang w:eastAsia="en-AU"/>
        </w:rPr>
        <w:t xml:space="preserve"> construction costs for medium and high </w:t>
      </w:r>
      <w:r w:rsidRPr="003A79D9">
        <w:rPr>
          <w:lang w:eastAsia="en-AU"/>
        </w:rPr>
        <w:t xml:space="preserve">density dwellings compared with </w:t>
      </w:r>
      <w:r>
        <w:rPr>
          <w:lang w:eastAsia="en-AU"/>
        </w:rPr>
        <w:t xml:space="preserve">single </w:t>
      </w:r>
      <w:r w:rsidRPr="003A79D9">
        <w:rPr>
          <w:lang w:eastAsia="en-AU"/>
        </w:rPr>
        <w:t xml:space="preserve">detached dwellings, including </w:t>
      </w:r>
      <w:r>
        <w:rPr>
          <w:lang w:eastAsia="en-AU"/>
        </w:rPr>
        <w:t>cost of land, demolition and higher building standards.</w:t>
      </w:r>
    </w:p>
    <w:p w:rsidR="00B42571" w:rsidRPr="003A79D9" w:rsidRDefault="00B42571" w:rsidP="002C0EE5">
      <w:pPr>
        <w:pStyle w:val="ListParagraph"/>
        <w:numPr>
          <w:ilvl w:val="0"/>
          <w:numId w:val="23"/>
        </w:numPr>
        <w:spacing w:after="120" w:line="240" w:lineRule="auto"/>
        <w:jc w:val="both"/>
        <w:rPr>
          <w:lang w:eastAsia="en-AU"/>
        </w:rPr>
      </w:pPr>
      <w:r>
        <w:rPr>
          <w:lang w:eastAsia="en-AU"/>
        </w:rPr>
        <w:t>D</w:t>
      </w:r>
      <w:r w:rsidRPr="003A79D9">
        <w:rPr>
          <w:lang w:eastAsia="en-AU"/>
        </w:rPr>
        <w:t xml:space="preserve">ifficulties in aggregating and preparing land for </w:t>
      </w:r>
      <w:r>
        <w:rPr>
          <w:lang w:eastAsia="en-AU"/>
        </w:rPr>
        <w:t>development eg infill sites tend to have multiple titles in different ownership.</w:t>
      </w:r>
    </w:p>
    <w:p w:rsidR="00B42571" w:rsidRPr="003A79D9" w:rsidRDefault="00B42571" w:rsidP="002C0EE5">
      <w:pPr>
        <w:pStyle w:val="ListParagraph"/>
        <w:numPr>
          <w:ilvl w:val="0"/>
          <w:numId w:val="23"/>
        </w:numPr>
        <w:spacing w:after="120" w:line="240" w:lineRule="auto"/>
        <w:jc w:val="both"/>
        <w:rPr>
          <w:lang w:eastAsia="en-AU"/>
        </w:rPr>
      </w:pPr>
      <w:r>
        <w:rPr>
          <w:lang w:eastAsia="en-AU"/>
        </w:rPr>
        <w:t>D</w:t>
      </w:r>
      <w:r w:rsidRPr="003A79D9">
        <w:rPr>
          <w:lang w:eastAsia="en-AU"/>
        </w:rPr>
        <w:t>elays in securing development finance</w:t>
      </w:r>
      <w:r>
        <w:rPr>
          <w:lang w:eastAsia="en-AU"/>
        </w:rPr>
        <w:t>, as infill developments typically contain more dwellings and the capital outlay is greater.</w:t>
      </w:r>
    </w:p>
    <w:p w:rsidR="00B42571" w:rsidRDefault="00B42571" w:rsidP="002C0EE5">
      <w:pPr>
        <w:pStyle w:val="ListParagraph"/>
        <w:numPr>
          <w:ilvl w:val="0"/>
          <w:numId w:val="23"/>
        </w:numPr>
        <w:spacing w:after="120" w:line="240" w:lineRule="auto"/>
        <w:jc w:val="both"/>
        <w:rPr>
          <w:lang w:eastAsia="en-AU"/>
        </w:rPr>
      </w:pPr>
      <w:r>
        <w:rPr>
          <w:lang w:eastAsia="en-AU"/>
        </w:rPr>
        <w:t>L</w:t>
      </w:r>
      <w:r w:rsidRPr="003A79D9">
        <w:rPr>
          <w:lang w:eastAsia="en-AU"/>
        </w:rPr>
        <w:t>engthy and sometimes uncertain planning and development assessment processes</w:t>
      </w:r>
      <w:r>
        <w:rPr>
          <w:lang w:eastAsia="en-AU"/>
        </w:rPr>
        <w:t>.</w:t>
      </w:r>
    </w:p>
    <w:p w:rsidR="00B42571" w:rsidRDefault="00B42571" w:rsidP="0076225F">
      <w:pPr>
        <w:numPr>
          <w:ilvl w:val="0"/>
          <w:numId w:val="23"/>
        </w:numPr>
        <w:spacing w:after="120" w:line="240" w:lineRule="auto"/>
        <w:jc w:val="both"/>
        <w:rPr>
          <w:lang w:eastAsia="en-AU"/>
        </w:rPr>
      </w:pPr>
      <w:r w:rsidRPr="003A79D9">
        <w:rPr>
          <w:lang w:eastAsia="en-AU"/>
        </w:rPr>
        <w:t>Community opp</w:t>
      </w:r>
      <w:r>
        <w:rPr>
          <w:lang w:eastAsia="en-AU"/>
        </w:rPr>
        <w:t xml:space="preserve">osition to infill and to medium and high </w:t>
      </w:r>
      <w:r w:rsidRPr="003A79D9">
        <w:rPr>
          <w:lang w:eastAsia="en-AU"/>
        </w:rPr>
        <w:t>density dwellings</w:t>
      </w:r>
      <w:r>
        <w:rPr>
          <w:lang w:eastAsia="en-AU"/>
        </w:rPr>
        <w:t>, causing delays in the planning process</w:t>
      </w:r>
      <w:r w:rsidRPr="003A79D9">
        <w:rPr>
          <w:lang w:eastAsia="en-AU"/>
        </w:rPr>
        <w:t>.</w:t>
      </w:r>
    </w:p>
    <w:p w:rsidR="00B42571" w:rsidRPr="00046079" w:rsidRDefault="00B42571" w:rsidP="004E4BFB">
      <w:pPr>
        <w:spacing w:after="120" w:line="240" w:lineRule="auto"/>
        <w:jc w:val="both"/>
      </w:pPr>
      <w:r>
        <w:t>The cost differences in constructing infill and Greenfield dwellings will need to be overcome if infill development is to become a viable option in Greater Hobart. The barriers to infill development will need to be closely explored by both State and local Government.</w:t>
      </w:r>
    </w:p>
    <w:p w:rsidR="00B42571" w:rsidRDefault="00B42571" w:rsidP="00D008B6">
      <w:pPr>
        <w:pStyle w:val="Heading1"/>
      </w:pPr>
      <w:bookmarkStart w:id="23" w:name="_Toc326919247"/>
      <w:r>
        <w:t>Strategic planning to support infill development</w:t>
      </w:r>
      <w:bookmarkEnd w:id="23"/>
    </w:p>
    <w:p w:rsidR="00B42571" w:rsidRDefault="00B42571" w:rsidP="00775E5F">
      <w:pPr>
        <w:spacing w:after="120" w:line="240" w:lineRule="auto"/>
        <w:jc w:val="both"/>
      </w:pPr>
      <w:r w:rsidRPr="00BD16D9">
        <w:t>The</w:t>
      </w:r>
      <w:r>
        <w:rPr>
          <w:i/>
          <w:iCs/>
        </w:rPr>
        <w:t xml:space="preserve"> </w:t>
      </w:r>
      <w:bookmarkStart w:id="24" w:name="OLE_LINK1"/>
      <w:bookmarkStart w:id="25" w:name="OLE_LINK2"/>
      <w:r w:rsidRPr="007114F5">
        <w:rPr>
          <w:i/>
          <w:iCs/>
        </w:rPr>
        <w:t>Southern Tasmania Regional Land Use Strategy</w:t>
      </w:r>
      <w:r w:rsidRPr="001A129D">
        <w:t xml:space="preserve"> </w:t>
      </w:r>
      <w:bookmarkEnd w:id="24"/>
      <w:bookmarkEnd w:id="25"/>
      <w:r>
        <w:t>is the overarching document to</w:t>
      </w:r>
      <w:r w:rsidRPr="001A129D">
        <w:t xml:space="preserve"> guide </w:t>
      </w:r>
      <w:r>
        <w:t>future settlement patterns in Greater Hobart. The Strategy reflects the concept of Transit Corridors and i</w:t>
      </w:r>
      <w:r w:rsidRPr="007114F5">
        <w:t xml:space="preserve">ncreasing residential densities </w:t>
      </w:r>
      <w:r>
        <w:t xml:space="preserve">in inner urban areas. </w:t>
      </w:r>
    </w:p>
    <w:p w:rsidR="00775E5F" w:rsidRDefault="00B42571" w:rsidP="00775E5F">
      <w:pPr>
        <w:autoSpaceDE w:val="0"/>
        <w:autoSpaceDN w:val="0"/>
        <w:adjustRightInd w:val="0"/>
        <w:spacing w:after="120" w:line="240" w:lineRule="auto"/>
        <w:jc w:val="both"/>
      </w:pPr>
      <w:r>
        <w:t xml:space="preserve">The </w:t>
      </w:r>
      <w:r w:rsidRPr="00437166">
        <w:t xml:space="preserve">Strategy </w:t>
      </w:r>
      <w:r>
        <w:t xml:space="preserve">outlines a Greater Hobart Residential Strategy to manage residential growth by establishing a 20 year urban growth boundary and proceeding on the basis of a </w:t>
      </w:r>
      <w:r w:rsidRPr="00437166">
        <w:t>50/50 ratio of Greenfield</w:t>
      </w:r>
      <w:r>
        <w:t xml:space="preserve"> </w:t>
      </w:r>
      <w:r w:rsidRPr="00437166">
        <w:t xml:space="preserve">to infill </w:t>
      </w:r>
      <w:r>
        <w:t xml:space="preserve">development. </w:t>
      </w:r>
      <w:r w:rsidR="00775E5F">
        <w:t>The Strategy identifies the following infill targets:</w:t>
      </w:r>
    </w:p>
    <w:p w:rsidR="00775E5F" w:rsidRPr="008C5FCC" w:rsidRDefault="00775E5F" w:rsidP="00775E5F">
      <w:pPr>
        <w:pStyle w:val="Default"/>
        <w:numPr>
          <w:ilvl w:val="0"/>
          <w:numId w:val="35"/>
        </w:numPr>
        <w:spacing w:after="120"/>
        <w:ind w:left="714" w:hanging="357"/>
        <w:contextualSpacing/>
        <w:jc w:val="both"/>
        <w:rPr>
          <w:sz w:val="22"/>
          <w:szCs w:val="22"/>
        </w:rPr>
      </w:pPr>
      <w:r w:rsidRPr="008C5FCC">
        <w:rPr>
          <w:sz w:val="22"/>
          <w:szCs w:val="22"/>
        </w:rPr>
        <w:t xml:space="preserve">Glenorchy </w:t>
      </w:r>
      <w:r w:rsidR="009F6C31">
        <w:rPr>
          <w:sz w:val="22"/>
          <w:szCs w:val="22"/>
        </w:rPr>
        <w:t>City Council</w:t>
      </w:r>
      <w:r>
        <w:rPr>
          <w:sz w:val="22"/>
          <w:szCs w:val="22"/>
        </w:rPr>
        <w:t>: 40 percent</w:t>
      </w:r>
      <w:r w:rsidRPr="008C5FCC">
        <w:rPr>
          <w:sz w:val="22"/>
          <w:szCs w:val="22"/>
        </w:rPr>
        <w:t xml:space="preserve"> </w:t>
      </w:r>
      <w:r>
        <w:rPr>
          <w:sz w:val="22"/>
          <w:szCs w:val="22"/>
        </w:rPr>
        <w:t xml:space="preserve">infill </w:t>
      </w:r>
      <w:r w:rsidRPr="008C5FCC">
        <w:rPr>
          <w:sz w:val="22"/>
          <w:szCs w:val="22"/>
        </w:rPr>
        <w:t>(5300 dwellings).</w:t>
      </w:r>
    </w:p>
    <w:p w:rsidR="00775E5F" w:rsidRPr="00051957" w:rsidRDefault="00775E5F" w:rsidP="00775E5F">
      <w:pPr>
        <w:pStyle w:val="ListParagraph"/>
        <w:numPr>
          <w:ilvl w:val="0"/>
          <w:numId w:val="35"/>
        </w:numPr>
        <w:spacing w:after="120" w:line="240" w:lineRule="auto"/>
        <w:ind w:left="714" w:hanging="357"/>
        <w:contextualSpacing/>
        <w:jc w:val="both"/>
      </w:pPr>
      <w:r>
        <w:t xml:space="preserve">Hobart </w:t>
      </w:r>
      <w:r w:rsidR="009F6C31">
        <w:t>City Council</w:t>
      </w:r>
      <w:r>
        <w:t>: 25 percent</w:t>
      </w:r>
      <w:r w:rsidRPr="0040239C">
        <w:t xml:space="preserve"> </w:t>
      </w:r>
      <w:r>
        <w:t xml:space="preserve">infill </w:t>
      </w:r>
      <w:r w:rsidRPr="0040239C">
        <w:t>(3312 dwellings).</w:t>
      </w:r>
    </w:p>
    <w:p w:rsidR="00BA1A5C" w:rsidRDefault="00B42571" w:rsidP="00775E5F">
      <w:pPr>
        <w:autoSpaceDE w:val="0"/>
        <w:autoSpaceDN w:val="0"/>
        <w:adjustRightInd w:val="0"/>
        <w:spacing w:after="120" w:line="240" w:lineRule="auto"/>
        <w:jc w:val="both"/>
      </w:pPr>
      <w:r>
        <w:t xml:space="preserve">The Strategy recommends an </w:t>
      </w:r>
      <w:r w:rsidRPr="00437166">
        <w:t>Infill</w:t>
      </w:r>
      <w:r>
        <w:t xml:space="preserve"> </w:t>
      </w:r>
      <w:r w:rsidRPr="00437166">
        <w:t>Devel</w:t>
      </w:r>
      <w:r>
        <w:t>opment Program to identify</w:t>
      </w:r>
      <w:r w:rsidRPr="00437166">
        <w:t xml:space="preserve"> key</w:t>
      </w:r>
      <w:r>
        <w:t xml:space="preserve"> </w:t>
      </w:r>
      <w:r w:rsidRPr="00437166">
        <w:t>redevelopment</w:t>
      </w:r>
      <w:r>
        <w:t xml:space="preserve"> </w:t>
      </w:r>
      <w:r w:rsidRPr="00437166">
        <w:t>opportunities</w:t>
      </w:r>
      <w:r>
        <w:t>,</w:t>
      </w:r>
      <w:r w:rsidRPr="00437166">
        <w:t xml:space="preserve"> without relying upon small</w:t>
      </w:r>
      <w:r>
        <w:t xml:space="preserve"> </w:t>
      </w:r>
      <w:r w:rsidRPr="00437166">
        <w:t>scale s</w:t>
      </w:r>
      <w:r>
        <w:t xml:space="preserve">ubdivision and unit development to promote these changes. </w:t>
      </w:r>
      <w:r w:rsidR="00BA1A5C">
        <w:t>The challenge will be in ensuring implementation of the Strategy occurs in respect of meeting the infill targets.</w:t>
      </w:r>
    </w:p>
    <w:p w:rsidR="00BA1A5C" w:rsidRDefault="00B42571" w:rsidP="00D2770A">
      <w:pPr>
        <w:autoSpaceDE w:val="0"/>
        <w:autoSpaceDN w:val="0"/>
        <w:adjustRightInd w:val="0"/>
        <w:spacing w:after="120" w:line="240" w:lineRule="auto"/>
        <w:jc w:val="both"/>
      </w:pPr>
      <w:r>
        <w:t>The table below highlights what is required for this Strategy to be successful.</w:t>
      </w:r>
    </w:p>
    <w:p w:rsidR="00B42571" w:rsidRPr="0017396A" w:rsidRDefault="00B42571" w:rsidP="00BA1A5C">
      <w:pPr>
        <w:pStyle w:val="Caption"/>
        <w:spacing w:after="120"/>
      </w:pPr>
      <w:r>
        <w:t xml:space="preserve">Figure </w:t>
      </w:r>
      <w:fldSimple w:instr=" SEQ Figure \* ARABIC ">
        <w:r w:rsidR="00214FC0">
          <w:rPr>
            <w:noProof/>
          </w:rPr>
          <w:t>8</w:t>
        </w:r>
      </w:fldSimple>
      <w:r w:rsidRPr="0017396A">
        <w:t xml:space="preserve"> </w:t>
      </w:r>
      <w:r w:rsidRPr="00437166">
        <w:t>Infill</w:t>
      </w:r>
      <w:r>
        <w:t xml:space="preserve"> </w:t>
      </w:r>
      <w:r w:rsidRPr="00437166">
        <w:t>Devel</w:t>
      </w:r>
      <w:r>
        <w:t>opment Program requirements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1"/>
        <w:gridCol w:w="4621"/>
      </w:tblGrid>
      <w:tr w:rsidR="00B42571" w:rsidRPr="00E069A3">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t>Urban growth boundary -</w:t>
            </w:r>
            <w:r w:rsidRPr="00E069A3">
              <w:rPr>
                <w:sz w:val="18"/>
                <w:szCs w:val="18"/>
              </w:rPr>
              <w:t xml:space="preserve"> control of low density, rural and environmental living opportunities outside of the Urban Growth Boundary, particularly within ‘commutable’ distance.</w:t>
            </w:r>
          </w:p>
        </w:tc>
        <w:tc>
          <w:tcPr>
            <w:tcW w:w="4621" w:type="dxa"/>
          </w:tcPr>
          <w:p w:rsidR="00B42571" w:rsidRPr="00E069A3" w:rsidRDefault="00B42571" w:rsidP="00E069A3">
            <w:pPr>
              <w:autoSpaceDE w:val="0"/>
              <w:autoSpaceDN w:val="0"/>
              <w:adjustRightInd w:val="0"/>
              <w:spacing w:after="0" w:line="240" w:lineRule="auto"/>
              <w:rPr>
                <w:b/>
                <w:bCs/>
                <w:sz w:val="18"/>
                <w:szCs w:val="18"/>
              </w:rPr>
            </w:pPr>
            <w:r w:rsidRPr="00E069A3">
              <w:rPr>
                <w:b/>
                <w:bCs/>
                <w:sz w:val="18"/>
                <w:szCs w:val="18"/>
              </w:rPr>
              <w:t xml:space="preserve">Provision of high quality open spaces - </w:t>
            </w:r>
            <w:r w:rsidRPr="00E069A3">
              <w:rPr>
                <w:sz w:val="18"/>
                <w:szCs w:val="18"/>
              </w:rPr>
              <w:t>to support the</w:t>
            </w:r>
            <w:r w:rsidRPr="00E069A3">
              <w:rPr>
                <w:b/>
                <w:bCs/>
                <w:sz w:val="18"/>
                <w:szCs w:val="18"/>
              </w:rPr>
              <w:t xml:space="preserve"> </w:t>
            </w:r>
            <w:r w:rsidRPr="00E069A3">
              <w:rPr>
                <w:sz w:val="18"/>
                <w:szCs w:val="18"/>
              </w:rPr>
              <w:t>amenity of higher density living.</w:t>
            </w:r>
          </w:p>
        </w:tc>
      </w:tr>
      <w:tr w:rsidR="00B42571" w:rsidRPr="00E069A3">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t xml:space="preserve">Reduction in regulatory barriers - </w:t>
            </w:r>
            <w:r w:rsidRPr="00E069A3">
              <w:rPr>
                <w:sz w:val="18"/>
                <w:szCs w:val="18"/>
              </w:rPr>
              <w:t>to multiple dwellings and higher density development within Planning Schemes.</w:t>
            </w:r>
          </w:p>
        </w:tc>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t>Crown land</w:t>
            </w:r>
            <w:r w:rsidRPr="00E069A3">
              <w:rPr>
                <w:sz w:val="18"/>
                <w:szCs w:val="18"/>
              </w:rPr>
              <w:t xml:space="preserve"> </w:t>
            </w:r>
            <w:r w:rsidRPr="00E069A3">
              <w:rPr>
                <w:b/>
                <w:bCs/>
                <w:sz w:val="18"/>
                <w:szCs w:val="18"/>
              </w:rPr>
              <w:t>coordination</w:t>
            </w:r>
            <w:r w:rsidRPr="00E069A3">
              <w:rPr>
                <w:sz w:val="18"/>
                <w:szCs w:val="18"/>
              </w:rPr>
              <w:t xml:space="preserve"> - the coordination of use and development of Crown Land within Greater Hobart.</w:t>
            </w:r>
          </w:p>
        </w:tc>
      </w:tr>
      <w:tr w:rsidR="00B42571" w:rsidRPr="00E069A3">
        <w:tc>
          <w:tcPr>
            <w:tcW w:w="4621" w:type="dxa"/>
          </w:tcPr>
          <w:p w:rsidR="00B42571" w:rsidRPr="00E069A3" w:rsidRDefault="00B42571" w:rsidP="00E069A3">
            <w:pPr>
              <w:autoSpaceDE w:val="0"/>
              <w:autoSpaceDN w:val="0"/>
              <w:adjustRightInd w:val="0"/>
              <w:spacing w:after="0" w:line="240" w:lineRule="auto"/>
              <w:rPr>
                <w:b/>
                <w:bCs/>
                <w:sz w:val="18"/>
                <w:szCs w:val="18"/>
              </w:rPr>
            </w:pPr>
            <w:r w:rsidRPr="00E069A3">
              <w:rPr>
                <w:b/>
                <w:bCs/>
                <w:sz w:val="18"/>
                <w:szCs w:val="18"/>
              </w:rPr>
              <w:t>Identification of high density residential opportunities</w:t>
            </w:r>
            <w:r w:rsidRPr="00E069A3">
              <w:rPr>
                <w:sz w:val="18"/>
                <w:szCs w:val="18"/>
              </w:rPr>
              <w:t xml:space="preserve"> - particularly</w:t>
            </w:r>
            <w:r w:rsidRPr="00E069A3">
              <w:rPr>
                <w:b/>
                <w:bCs/>
                <w:sz w:val="18"/>
                <w:szCs w:val="18"/>
              </w:rPr>
              <w:t xml:space="preserve"> </w:t>
            </w:r>
            <w:r w:rsidRPr="00E069A3">
              <w:rPr>
                <w:sz w:val="18"/>
                <w:szCs w:val="18"/>
              </w:rPr>
              <w:t>on greyfield and brownfield sites.</w:t>
            </w:r>
          </w:p>
        </w:tc>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t xml:space="preserve">Community education - </w:t>
            </w:r>
            <w:r w:rsidRPr="00E069A3">
              <w:rPr>
                <w:sz w:val="18"/>
                <w:szCs w:val="18"/>
              </w:rPr>
              <w:t>to dispel common negative myths about multiple dwelling development and promoting the importance of higher urban densities.</w:t>
            </w:r>
          </w:p>
        </w:tc>
      </w:tr>
      <w:tr w:rsidR="00B42571" w:rsidRPr="00E069A3">
        <w:tc>
          <w:tcPr>
            <w:tcW w:w="4621" w:type="dxa"/>
          </w:tcPr>
          <w:p w:rsidR="00B42571" w:rsidRPr="00E069A3" w:rsidRDefault="00B42571" w:rsidP="00E069A3">
            <w:pPr>
              <w:autoSpaceDE w:val="0"/>
              <w:autoSpaceDN w:val="0"/>
              <w:adjustRightInd w:val="0"/>
              <w:spacing w:after="0" w:line="240" w:lineRule="auto"/>
              <w:rPr>
                <w:b/>
                <w:bCs/>
                <w:sz w:val="18"/>
                <w:szCs w:val="18"/>
              </w:rPr>
            </w:pPr>
            <w:r w:rsidRPr="00E069A3">
              <w:rPr>
                <w:b/>
                <w:bCs/>
                <w:sz w:val="18"/>
                <w:szCs w:val="18"/>
              </w:rPr>
              <w:t>Cooperation between the public and private sector</w:t>
            </w:r>
            <w:r w:rsidRPr="00E069A3">
              <w:rPr>
                <w:sz w:val="18"/>
                <w:szCs w:val="18"/>
              </w:rPr>
              <w:t xml:space="preserve"> - to develop major</w:t>
            </w:r>
            <w:r w:rsidRPr="00E069A3">
              <w:rPr>
                <w:b/>
                <w:bCs/>
                <w:sz w:val="18"/>
                <w:szCs w:val="18"/>
              </w:rPr>
              <w:t xml:space="preserve"> </w:t>
            </w:r>
            <w:r w:rsidRPr="00E069A3">
              <w:rPr>
                <w:sz w:val="18"/>
                <w:szCs w:val="18"/>
              </w:rPr>
              <w:t>greyfield and brownfield sites.</w:t>
            </w:r>
          </w:p>
        </w:tc>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t>Consistent developer charges</w:t>
            </w:r>
            <w:r w:rsidRPr="00E069A3">
              <w:rPr>
                <w:sz w:val="18"/>
                <w:szCs w:val="18"/>
              </w:rPr>
              <w:t xml:space="preserve"> - for physical infrastructure that reflects long term cost benefits of higher densities and developing existing serviced areas.</w:t>
            </w:r>
          </w:p>
        </w:tc>
      </w:tr>
      <w:tr w:rsidR="00B42571" w:rsidRPr="00E069A3">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t>Affordable housing</w:t>
            </w:r>
            <w:r w:rsidRPr="00E069A3">
              <w:rPr>
                <w:sz w:val="18"/>
                <w:szCs w:val="18"/>
              </w:rPr>
              <w:t xml:space="preserve"> - specific Government initiatives </w:t>
            </w:r>
            <w:r w:rsidRPr="00E069A3">
              <w:rPr>
                <w:sz w:val="18"/>
                <w:szCs w:val="18"/>
              </w:rPr>
              <w:lastRenderedPageBreak/>
              <w:t>to assist in increasing the stock of affordable housing.</w:t>
            </w:r>
          </w:p>
        </w:tc>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lastRenderedPageBreak/>
              <w:t xml:space="preserve">Minimising construction costs - </w:t>
            </w:r>
            <w:r w:rsidRPr="00E069A3">
              <w:rPr>
                <w:sz w:val="18"/>
                <w:szCs w:val="18"/>
              </w:rPr>
              <w:t xml:space="preserve">of infill development </w:t>
            </w:r>
            <w:r w:rsidRPr="00E069A3">
              <w:rPr>
                <w:sz w:val="18"/>
                <w:szCs w:val="18"/>
              </w:rPr>
              <w:lastRenderedPageBreak/>
              <w:t>by reviewing State and local Government taxes, fees and charges that contribute to development costs.</w:t>
            </w:r>
          </w:p>
        </w:tc>
      </w:tr>
      <w:tr w:rsidR="00B42571" w:rsidRPr="00E069A3">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lastRenderedPageBreak/>
              <w:t xml:space="preserve">Non-government regulated influences </w:t>
            </w:r>
            <w:r w:rsidRPr="00E069A3">
              <w:rPr>
                <w:sz w:val="18"/>
                <w:szCs w:val="18"/>
              </w:rPr>
              <w:t>-</w:t>
            </w:r>
            <w:r w:rsidRPr="00E069A3">
              <w:rPr>
                <w:b/>
                <w:bCs/>
                <w:sz w:val="18"/>
                <w:szCs w:val="18"/>
              </w:rPr>
              <w:t xml:space="preserve"> </w:t>
            </w:r>
            <w:r w:rsidRPr="00E069A3">
              <w:rPr>
                <w:sz w:val="18"/>
                <w:szCs w:val="18"/>
              </w:rPr>
              <w:t>measures to encourage financial institutions to</w:t>
            </w:r>
            <w:r w:rsidRPr="00E069A3">
              <w:rPr>
                <w:b/>
                <w:bCs/>
                <w:sz w:val="18"/>
                <w:szCs w:val="18"/>
              </w:rPr>
              <w:t xml:space="preserve"> </w:t>
            </w:r>
            <w:r w:rsidRPr="00E069A3">
              <w:rPr>
                <w:sz w:val="18"/>
                <w:szCs w:val="18"/>
              </w:rPr>
              <w:t>lend money for infill development.</w:t>
            </w:r>
          </w:p>
        </w:tc>
        <w:tc>
          <w:tcPr>
            <w:tcW w:w="4621" w:type="dxa"/>
          </w:tcPr>
          <w:p w:rsidR="00B42571" w:rsidRPr="00E069A3" w:rsidRDefault="00B42571" w:rsidP="00E069A3">
            <w:pPr>
              <w:autoSpaceDE w:val="0"/>
              <w:autoSpaceDN w:val="0"/>
              <w:adjustRightInd w:val="0"/>
              <w:spacing w:after="0" w:line="240" w:lineRule="auto"/>
              <w:rPr>
                <w:sz w:val="18"/>
                <w:szCs w:val="18"/>
              </w:rPr>
            </w:pPr>
            <w:r w:rsidRPr="00E069A3">
              <w:rPr>
                <w:b/>
                <w:bCs/>
                <w:sz w:val="18"/>
                <w:szCs w:val="18"/>
              </w:rPr>
              <w:t>Monitoring and review</w:t>
            </w:r>
            <w:r w:rsidRPr="00E069A3">
              <w:rPr>
                <w:sz w:val="18"/>
                <w:szCs w:val="18"/>
              </w:rPr>
              <w:t xml:space="preserve"> - achievement of the Greenfield and infill targets will require regular monitoring and review.</w:t>
            </w:r>
          </w:p>
        </w:tc>
      </w:tr>
    </w:tbl>
    <w:p w:rsidR="00B42571" w:rsidRDefault="00B42571" w:rsidP="00D008B6">
      <w:pPr>
        <w:autoSpaceDE w:val="0"/>
        <w:autoSpaceDN w:val="0"/>
        <w:adjustRightInd w:val="0"/>
        <w:spacing w:after="0" w:line="240" w:lineRule="auto"/>
        <w:rPr>
          <w:rFonts w:ascii="TwCenMT-Regular" w:hAnsi="TwCenMT-Regular" w:cs="TwCenMT-Regular"/>
          <w:sz w:val="20"/>
          <w:szCs w:val="20"/>
        </w:rPr>
      </w:pPr>
      <w:r>
        <w:rPr>
          <w:rFonts w:ascii="TwCenMT-Regular" w:hAnsi="TwCenMT-Regular" w:cs="TwCenMT-Regular"/>
          <w:sz w:val="20"/>
          <w:szCs w:val="20"/>
        </w:rPr>
        <w:t>Source: Based on STCA, 2011</w:t>
      </w:r>
    </w:p>
    <w:p w:rsidR="00B42571" w:rsidRDefault="00B42571" w:rsidP="00D008B6">
      <w:pPr>
        <w:autoSpaceDE w:val="0"/>
        <w:autoSpaceDN w:val="0"/>
        <w:adjustRightInd w:val="0"/>
        <w:spacing w:after="0" w:line="240" w:lineRule="auto"/>
        <w:rPr>
          <w:rFonts w:ascii="TwCenMT-Regular" w:hAnsi="TwCenMT-Regular" w:cs="TwCenMT-Regular"/>
          <w:sz w:val="20"/>
          <w:szCs w:val="20"/>
        </w:rPr>
      </w:pPr>
    </w:p>
    <w:p w:rsidR="00B42571" w:rsidRDefault="00B42571" w:rsidP="00FB6790">
      <w:pPr>
        <w:autoSpaceDE w:val="0"/>
        <w:autoSpaceDN w:val="0"/>
        <w:adjustRightInd w:val="0"/>
        <w:spacing w:after="0" w:line="240" w:lineRule="auto"/>
      </w:pPr>
      <w:r w:rsidRPr="00FB6790">
        <w:t xml:space="preserve">The </w:t>
      </w:r>
      <w:r>
        <w:t xml:space="preserve">Draft </w:t>
      </w:r>
      <w:r w:rsidRPr="002E66E6">
        <w:rPr>
          <w:i/>
          <w:iCs/>
        </w:rPr>
        <w:t>Capital City Plan</w:t>
      </w:r>
      <w:r w:rsidRPr="00FB6790">
        <w:t xml:space="preserve"> </w:t>
      </w:r>
      <w:r>
        <w:t xml:space="preserve">incorporates the </w:t>
      </w:r>
      <w:r w:rsidRPr="00FB6790">
        <w:t>policies and strategic directions</w:t>
      </w:r>
      <w:r>
        <w:t xml:space="preserve"> </w:t>
      </w:r>
      <w:r w:rsidRPr="00FB6790">
        <w:t xml:space="preserve">of the </w:t>
      </w:r>
      <w:r w:rsidRPr="00D47631">
        <w:rPr>
          <w:i/>
          <w:iCs/>
        </w:rPr>
        <w:t>Southern Regional Land Use Strategy.</w:t>
      </w:r>
      <w:r>
        <w:t xml:space="preserve"> Therefore the Plan supports the concept of infill and mixed use adjacent to Transit Corridors and activity centres. </w:t>
      </w:r>
      <w:r w:rsidRPr="00FB6790">
        <w:t xml:space="preserve"> </w:t>
      </w:r>
    </w:p>
    <w:p w:rsidR="00B42571" w:rsidRDefault="00B42571" w:rsidP="00FB6790">
      <w:pPr>
        <w:autoSpaceDE w:val="0"/>
        <w:autoSpaceDN w:val="0"/>
        <w:adjustRightInd w:val="0"/>
        <w:spacing w:after="0" w:line="240" w:lineRule="auto"/>
      </w:pPr>
    </w:p>
    <w:p w:rsidR="00B42571" w:rsidRPr="00D008B6" w:rsidRDefault="00B42571" w:rsidP="00FB6790">
      <w:pPr>
        <w:pStyle w:val="Heading2"/>
      </w:pPr>
      <w:bookmarkStart w:id="26" w:name="_Toc326919248"/>
      <w:r w:rsidRPr="00D008B6">
        <w:t>Planning Scheme provisions</w:t>
      </w:r>
      <w:bookmarkEnd w:id="26"/>
    </w:p>
    <w:p w:rsidR="00B42571" w:rsidRPr="002B3B5D" w:rsidRDefault="00B42571" w:rsidP="00D201E5">
      <w:pPr>
        <w:spacing w:after="120" w:line="240" w:lineRule="auto"/>
        <w:jc w:val="both"/>
      </w:pPr>
      <w:r w:rsidRPr="002B3B5D">
        <w:t xml:space="preserve">The Planning Scheme provides the primary </w:t>
      </w:r>
      <w:r>
        <w:t xml:space="preserve">statutory </w:t>
      </w:r>
      <w:r w:rsidRPr="002B3B5D">
        <w:t>tools for influencing density in particular locations through zoning and development control. Both Glenorchy and Hobart City Councils are in the process of creating new Planning Schemes</w:t>
      </w:r>
      <w:r>
        <w:t>. These Schemes</w:t>
      </w:r>
      <w:r w:rsidRPr="002B3B5D">
        <w:t xml:space="preserve"> </w:t>
      </w:r>
      <w:r>
        <w:t>will need to be</w:t>
      </w:r>
      <w:r w:rsidRPr="002B3B5D">
        <w:t xml:space="preserve"> based on the Regional Model Planning Scheme which is currently under development </w:t>
      </w:r>
      <w:r>
        <w:t xml:space="preserve">by the STCA </w:t>
      </w:r>
      <w:r w:rsidRPr="002B3B5D">
        <w:t xml:space="preserve">and due for completion in early 2013. </w:t>
      </w:r>
    </w:p>
    <w:p w:rsidR="00B42571" w:rsidRPr="002B3B5D" w:rsidRDefault="00B42571" w:rsidP="00D201E5">
      <w:pPr>
        <w:spacing w:after="120" w:line="240" w:lineRule="auto"/>
        <w:jc w:val="both"/>
      </w:pPr>
      <w:r w:rsidRPr="002B3B5D">
        <w:t>At this stage it is anticipated that the Planning Schemes will contain the following provisions to encourage infill development:</w:t>
      </w:r>
    </w:p>
    <w:p w:rsidR="00B42571" w:rsidRPr="005456E0" w:rsidRDefault="00B42571" w:rsidP="00D201E5">
      <w:pPr>
        <w:pStyle w:val="ListParagraph"/>
        <w:numPr>
          <w:ilvl w:val="0"/>
          <w:numId w:val="25"/>
        </w:numPr>
        <w:spacing w:after="120" w:line="240" w:lineRule="auto"/>
        <w:jc w:val="both"/>
      </w:pPr>
      <w:r w:rsidRPr="005456E0">
        <w:t>Application of the Inner Residential Zone within 400m of the Transit Corridor and within 800 metres of Moonah and Glenorchy activity centres on land currently zoned Residential in Glenorchy</w:t>
      </w:r>
      <w:r>
        <w:t xml:space="preserve"> City Council</w:t>
      </w:r>
      <w:r w:rsidRPr="005456E0">
        <w:t xml:space="preserve">. </w:t>
      </w:r>
    </w:p>
    <w:p w:rsidR="00B42571" w:rsidRPr="005456E0" w:rsidRDefault="00B42571" w:rsidP="00D201E5">
      <w:pPr>
        <w:pStyle w:val="ListParagraph"/>
        <w:numPr>
          <w:ilvl w:val="0"/>
          <w:numId w:val="25"/>
        </w:numPr>
        <w:spacing w:after="120" w:line="240" w:lineRule="auto"/>
        <w:jc w:val="both"/>
      </w:pPr>
      <w:r w:rsidRPr="005456E0">
        <w:t xml:space="preserve">Application of the Inner Residential Zone on land currently zoned Residential 1, 3, 4 which includes the suburbs of West Hobart, North Hobart and New Town in Hobart </w:t>
      </w:r>
      <w:r>
        <w:t>City Council.</w:t>
      </w:r>
    </w:p>
    <w:p w:rsidR="00B42571" w:rsidRPr="005456E0" w:rsidRDefault="00B42571" w:rsidP="00D201E5">
      <w:pPr>
        <w:pStyle w:val="ListParagraph"/>
        <w:numPr>
          <w:ilvl w:val="0"/>
          <w:numId w:val="25"/>
        </w:numPr>
        <w:spacing w:after="120" w:line="240" w:lineRule="auto"/>
        <w:jc w:val="both"/>
      </w:pPr>
      <w:r w:rsidRPr="005456E0">
        <w:t xml:space="preserve">The development standards for the Inner Residential Zone </w:t>
      </w:r>
      <w:r>
        <w:t>encourage</w:t>
      </w:r>
      <w:r w:rsidRPr="005456E0">
        <w:t xml:space="preserve"> </w:t>
      </w:r>
      <w:r>
        <w:t xml:space="preserve">a minimum </w:t>
      </w:r>
      <w:r w:rsidRPr="005456E0">
        <w:t>density of 25 dwellings per hectare</w:t>
      </w:r>
      <w:r>
        <w:t xml:space="preserve"> </w:t>
      </w:r>
      <w:r>
        <w:rPr>
          <w:lang w:val="en-US"/>
        </w:rPr>
        <w:t>(net density)</w:t>
      </w:r>
      <w:r w:rsidRPr="005456E0">
        <w:t>.</w:t>
      </w:r>
    </w:p>
    <w:p w:rsidR="00B42571" w:rsidRDefault="00B42571" w:rsidP="00D201E5">
      <w:pPr>
        <w:pStyle w:val="ListParagraph"/>
        <w:numPr>
          <w:ilvl w:val="0"/>
          <w:numId w:val="25"/>
        </w:numPr>
        <w:spacing w:after="120" w:line="240" w:lineRule="auto"/>
        <w:jc w:val="both"/>
      </w:pPr>
      <w:r w:rsidRPr="002B3B5D">
        <w:t>Provisions to encourage mixed use dev</w:t>
      </w:r>
      <w:r>
        <w:t>elopment and higher density in activity centres.</w:t>
      </w:r>
    </w:p>
    <w:p w:rsidR="00B42571" w:rsidRDefault="00B42571" w:rsidP="00D201E5">
      <w:pPr>
        <w:pStyle w:val="ListParagraph"/>
        <w:numPr>
          <w:ilvl w:val="0"/>
          <w:numId w:val="25"/>
        </w:numPr>
        <w:spacing w:after="120" w:line="240" w:lineRule="auto"/>
        <w:jc w:val="both"/>
      </w:pPr>
      <w:r>
        <w:t>Development of a Multiple Dwelling Code.</w:t>
      </w:r>
    </w:p>
    <w:p w:rsidR="00B42571" w:rsidRPr="002B3B5D" w:rsidRDefault="00B42571" w:rsidP="00BF5397">
      <w:pPr>
        <w:pStyle w:val="Heading2"/>
      </w:pPr>
      <w:bookmarkStart w:id="27" w:name="_Toc326919249"/>
      <w:r>
        <w:t>Identification of high residential density opportunities</w:t>
      </w:r>
      <w:bookmarkEnd w:id="27"/>
    </w:p>
    <w:p w:rsidR="00B42571" w:rsidRDefault="00B42571" w:rsidP="00BF5397">
      <w:pPr>
        <w:spacing w:before="120" w:after="0" w:line="240" w:lineRule="auto"/>
        <w:jc w:val="both"/>
      </w:pPr>
      <w:bookmarkStart w:id="28" w:name="OLE_LINK3"/>
      <w:bookmarkStart w:id="29" w:name="OLE_LINK4"/>
      <w:r>
        <w:t>The</w:t>
      </w:r>
      <w:r w:rsidRPr="007429A1">
        <w:rPr>
          <w:i/>
          <w:iCs/>
        </w:rPr>
        <w:t xml:space="preserve"> Southern Regional Land Use Strategy</w:t>
      </w:r>
      <w:r>
        <w:t xml:space="preserve"> identifies land around the Transit Corridor as an infill area. </w:t>
      </w:r>
      <w:bookmarkStart w:id="30" w:name="OLE_LINK7"/>
      <w:bookmarkStart w:id="31" w:name="OLE_LINK8"/>
      <w:r>
        <w:t>The first step is to identify sites along the Corridor that could potentially be developed for higher density residential uses. This enables a clearer understanding of what the future dwelling density and population capacity of the Corridor will be.</w:t>
      </w:r>
    </w:p>
    <w:bookmarkEnd w:id="30"/>
    <w:bookmarkEnd w:id="31"/>
    <w:p w:rsidR="00B42571" w:rsidRDefault="00B42571" w:rsidP="00BF5397">
      <w:pPr>
        <w:spacing w:before="120" w:after="0" w:line="240" w:lineRule="auto"/>
        <w:jc w:val="both"/>
      </w:pPr>
      <w:r>
        <w:t xml:space="preserve">A GIS model has been developed to identify sites which are potentially developable for infill development. Stage Two of the Transit Corridor project will outline the results of the model and consider different development scenarios, including conversion of light industrial land between Glenorchy and Moonah for infill residential development. </w:t>
      </w:r>
    </w:p>
    <w:bookmarkEnd w:id="28"/>
    <w:bookmarkEnd w:id="29"/>
    <w:p w:rsidR="00B42571" w:rsidRPr="000774A3" w:rsidRDefault="00B42571" w:rsidP="000774A3">
      <w:pPr>
        <w:rPr>
          <w:b/>
          <w:bCs/>
        </w:rPr>
      </w:pPr>
      <w:r w:rsidRPr="000774A3">
        <w:rPr>
          <w:b/>
          <w:bCs/>
        </w:rPr>
        <w:br w:type="page"/>
      </w:r>
    </w:p>
    <w:p w:rsidR="00B42571" w:rsidRPr="00DB44DC" w:rsidRDefault="002158F8" w:rsidP="00126BC8">
      <w:pPr>
        <w:autoSpaceDE w:val="0"/>
        <w:autoSpaceDN w:val="0"/>
        <w:adjustRightInd w:val="0"/>
        <w:spacing w:after="0" w:line="240" w:lineRule="auto"/>
        <w:jc w:val="both"/>
      </w:pPr>
      <w:r w:rsidRPr="002158F8">
        <w:rPr>
          <w:noProof/>
          <w:lang w:val="en-US"/>
        </w:rPr>
        <w:pict>
          <v:shape id="Picture 9" o:spid="_x0000_s1034" type="#_x0000_t75" style="position:absolute;left:0;text-align:left;margin-left:0;margin-top:0;width:595.5pt;height:842.25pt;z-index:-251660800;visibility:visible;mso-position-horizontal-relative:page;mso-position-vertical:center;mso-position-vertical-relative:page" o:allowincell="f">
            <v:imagedata r:id="rId14" o:title=""/>
            <w10:wrap anchorx="page" anchory="page"/>
          </v:shape>
        </w:pict>
      </w:r>
    </w:p>
    <w:p w:rsidR="00B42571" w:rsidRPr="00DB44DC" w:rsidRDefault="00B42571" w:rsidP="00126BC8">
      <w:pPr>
        <w:jc w:val="both"/>
      </w:pPr>
    </w:p>
    <w:p w:rsidR="00B42571" w:rsidRPr="00DB44DC" w:rsidRDefault="002158F8" w:rsidP="00126BC8">
      <w:pPr>
        <w:jc w:val="both"/>
      </w:pPr>
      <w:r w:rsidRPr="002158F8">
        <w:rPr>
          <w:noProof/>
          <w:lang w:val="en-US"/>
        </w:rPr>
        <w:pict>
          <v:shape id="_x0000_s1035" type="#_x0000_t202" style="position:absolute;left:0;text-align:left;margin-left:333pt;margin-top:480pt;width:171pt;height:171pt;z-index:251656704" filled="f" stroked="f">
            <v:textbox style="mso-next-textbox:#_x0000_s1035">
              <w:txbxContent>
                <w:p w:rsidR="00BA1A5C" w:rsidRPr="00E069A3" w:rsidRDefault="00BA1A5C" w:rsidP="007571D6">
                  <w:pPr>
                    <w:spacing w:before="60" w:after="60"/>
                    <w:rPr>
                      <w:b/>
                      <w:bCs/>
                      <w:snapToGrid w:val="0"/>
                      <w:color w:val="FFFFFF"/>
                      <w:sz w:val="20"/>
                      <w:szCs w:val="20"/>
                    </w:rPr>
                  </w:pPr>
                  <w:r w:rsidRPr="00E069A3">
                    <w:rPr>
                      <w:b/>
                      <w:bCs/>
                      <w:snapToGrid w:val="0"/>
                      <w:color w:val="FFFFFF"/>
                      <w:sz w:val="20"/>
                      <w:szCs w:val="20"/>
                    </w:rPr>
                    <w:t>Department of Infrastructure, Energy and Resources</w:t>
                  </w:r>
                </w:p>
                <w:p w:rsidR="00BA1A5C" w:rsidRPr="00E069A3" w:rsidRDefault="00BA1A5C" w:rsidP="007571D6">
                  <w:pPr>
                    <w:pStyle w:val="BodyText"/>
                    <w:spacing w:before="60" w:after="60"/>
                    <w:rPr>
                      <w:rFonts w:ascii="Arial" w:hAnsi="Arial" w:cs="Arial"/>
                      <w:b w:val="0"/>
                      <w:bCs w:val="0"/>
                    </w:rPr>
                  </w:pPr>
                </w:p>
                <w:p w:rsidR="00BA1A5C" w:rsidRPr="00E069A3" w:rsidRDefault="00BA1A5C" w:rsidP="007571D6">
                  <w:pPr>
                    <w:spacing w:before="60" w:after="60"/>
                    <w:rPr>
                      <w:snapToGrid w:val="0"/>
                      <w:color w:val="FFFFFF"/>
                      <w:sz w:val="20"/>
                      <w:szCs w:val="20"/>
                    </w:rPr>
                  </w:pPr>
                  <w:r w:rsidRPr="00E069A3">
                    <w:rPr>
                      <w:snapToGrid w:val="0"/>
                      <w:color w:val="FFFFFF"/>
                      <w:sz w:val="20"/>
                      <w:szCs w:val="20"/>
                    </w:rPr>
                    <w:t xml:space="preserve">10 Murray Street, </w:t>
                  </w:r>
                </w:p>
                <w:p w:rsidR="00BA1A5C" w:rsidRPr="00E069A3" w:rsidRDefault="00BA1A5C" w:rsidP="007571D6">
                  <w:pPr>
                    <w:spacing w:before="60" w:after="60"/>
                    <w:rPr>
                      <w:snapToGrid w:val="0"/>
                      <w:color w:val="FFFFFF"/>
                      <w:sz w:val="20"/>
                      <w:szCs w:val="20"/>
                    </w:rPr>
                  </w:pPr>
                  <w:r w:rsidRPr="00E069A3">
                    <w:rPr>
                      <w:snapToGrid w:val="0"/>
                      <w:color w:val="FFFFFF"/>
                      <w:sz w:val="20"/>
                      <w:szCs w:val="20"/>
                    </w:rPr>
                    <w:t>Hobart TAS 7001</w:t>
                  </w:r>
                </w:p>
                <w:p w:rsidR="00BA1A5C" w:rsidRPr="00E069A3" w:rsidRDefault="00BA1A5C" w:rsidP="007571D6">
                  <w:pPr>
                    <w:spacing w:before="60" w:after="60"/>
                    <w:rPr>
                      <w:snapToGrid w:val="0"/>
                      <w:color w:val="FFFFFF"/>
                      <w:sz w:val="20"/>
                      <w:szCs w:val="20"/>
                    </w:rPr>
                  </w:pPr>
                  <w:r w:rsidRPr="00E069A3">
                    <w:rPr>
                      <w:snapToGrid w:val="0"/>
                      <w:color w:val="FFFFFF"/>
                      <w:sz w:val="20"/>
                      <w:szCs w:val="20"/>
                    </w:rPr>
                    <w:t>Ph: 1300 135 513</w:t>
                  </w:r>
                </w:p>
                <w:p w:rsidR="00BA1A5C" w:rsidRPr="00E069A3" w:rsidRDefault="00BA1A5C" w:rsidP="007571D6">
                  <w:pPr>
                    <w:spacing w:before="60" w:after="60"/>
                    <w:rPr>
                      <w:snapToGrid w:val="0"/>
                      <w:color w:val="FFFFFF"/>
                    </w:rPr>
                  </w:pPr>
                  <w:r w:rsidRPr="00E069A3">
                    <w:rPr>
                      <w:snapToGrid w:val="0"/>
                      <w:color w:val="FFFFFF"/>
                      <w:sz w:val="20"/>
                      <w:szCs w:val="20"/>
                    </w:rPr>
                    <w:t>Visit: www.dier.tas.gov.au</w:t>
                  </w:r>
                </w:p>
              </w:txbxContent>
            </v:textbox>
          </v:shape>
        </w:pict>
      </w:r>
    </w:p>
    <w:p w:rsidR="00B42571" w:rsidRPr="00DB44DC" w:rsidRDefault="00B42571" w:rsidP="00126BC8">
      <w:pPr>
        <w:jc w:val="both"/>
      </w:pPr>
    </w:p>
    <w:sectPr w:rsidR="00B42571" w:rsidRPr="00DB44DC" w:rsidSect="0081590E">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A5C" w:rsidRDefault="00BA1A5C" w:rsidP="00DB44DC">
      <w:pPr>
        <w:spacing w:after="0" w:line="240" w:lineRule="auto"/>
      </w:pPr>
      <w:r>
        <w:separator/>
      </w:r>
    </w:p>
  </w:endnote>
  <w:endnote w:type="continuationSeparator" w:id="0">
    <w:p w:rsidR="00BA1A5C" w:rsidRDefault="00BA1A5C" w:rsidP="00DB4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illSans-Light">
    <w:altName w:val="GillSans Light"/>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GillSan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LucidaSans">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TwCenMT-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A5C" w:rsidRPr="00F451DE" w:rsidRDefault="002158F8">
    <w:pPr>
      <w:pStyle w:val="Footer"/>
      <w:jc w:val="right"/>
      <w:rPr>
        <w:sz w:val="16"/>
        <w:szCs w:val="16"/>
      </w:rPr>
    </w:pPr>
    <w:r w:rsidRPr="00F451DE">
      <w:rPr>
        <w:sz w:val="16"/>
        <w:szCs w:val="16"/>
      </w:rPr>
      <w:fldChar w:fldCharType="begin"/>
    </w:r>
    <w:r w:rsidR="00BA1A5C" w:rsidRPr="00F451DE">
      <w:rPr>
        <w:sz w:val="16"/>
        <w:szCs w:val="16"/>
      </w:rPr>
      <w:instrText xml:space="preserve"> PAGE   \* MERGEFORMAT </w:instrText>
    </w:r>
    <w:r w:rsidRPr="00F451DE">
      <w:rPr>
        <w:sz w:val="16"/>
        <w:szCs w:val="16"/>
      </w:rPr>
      <w:fldChar w:fldCharType="separate"/>
    </w:r>
    <w:r w:rsidR="007D5C6A">
      <w:rPr>
        <w:noProof/>
        <w:sz w:val="16"/>
        <w:szCs w:val="16"/>
      </w:rPr>
      <w:t>1</w:t>
    </w:r>
    <w:r w:rsidRPr="00F451DE">
      <w:rPr>
        <w:sz w:val="16"/>
        <w:szCs w:val="16"/>
      </w:rPr>
      <w:fldChar w:fldCharType="end"/>
    </w:r>
  </w:p>
  <w:p w:rsidR="00BA1A5C" w:rsidRDefault="00BA1A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A5C" w:rsidRDefault="00BA1A5C" w:rsidP="00DB44DC">
      <w:pPr>
        <w:spacing w:after="0" w:line="240" w:lineRule="auto"/>
      </w:pPr>
      <w:r>
        <w:separator/>
      </w:r>
    </w:p>
  </w:footnote>
  <w:footnote w:type="continuationSeparator" w:id="0">
    <w:p w:rsidR="00BA1A5C" w:rsidRDefault="00BA1A5C" w:rsidP="00DB44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A5C" w:rsidRPr="009C0E07" w:rsidRDefault="00BA1A5C">
    <w:pPr>
      <w:pStyle w:val="Header"/>
      <w:rPr>
        <w:color w:val="808080"/>
        <w:sz w:val="20"/>
        <w:szCs w:val="20"/>
      </w:rPr>
    </w:pPr>
    <w:r w:rsidRPr="009C0E07">
      <w:rPr>
        <w:color w:val="808080"/>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C520C08"/>
    <w:lvl w:ilvl="0">
      <w:start w:val="1"/>
      <w:numFmt w:val="bullet"/>
      <w:lvlText w:val=""/>
      <w:lvlJc w:val="left"/>
      <w:pPr>
        <w:tabs>
          <w:tab w:val="num" w:pos="1080"/>
        </w:tabs>
        <w:ind w:left="1080" w:hanging="360"/>
      </w:pPr>
      <w:rPr>
        <w:rFonts w:ascii="Symbol" w:hAnsi="Symbol" w:cs="Symbol" w:hint="default"/>
      </w:rPr>
    </w:lvl>
  </w:abstractNum>
  <w:abstractNum w:abstractNumId="1">
    <w:nsid w:val="FFFFFF83"/>
    <w:multiLevelType w:val="singleLevel"/>
    <w:tmpl w:val="A5FEB25A"/>
    <w:lvl w:ilvl="0">
      <w:start w:val="1"/>
      <w:numFmt w:val="bullet"/>
      <w:lvlText w:val=""/>
      <w:lvlJc w:val="left"/>
      <w:pPr>
        <w:tabs>
          <w:tab w:val="num" w:pos="720"/>
        </w:tabs>
        <w:ind w:left="720" w:hanging="360"/>
      </w:pPr>
      <w:rPr>
        <w:rFonts w:ascii="Symbol" w:hAnsi="Symbol" w:cs="Symbol" w:hint="default"/>
      </w:rPr>
    </w:lvl>
  </w:abstractNum>
  <w:abstractNum w:abstractNumId="2">
    <w:nsid w:val="FFFFFF89"/>
    <w:multiLevelType w:val="singleLevel"/>
    <w:tmpl w:val="62781FA0"/>
    <w:lvl w:ilvl="0">
      <w:start w:val="1"/>
      <w:numFmt w:val="bullet"/>
      <w:lvlText w:val=""/>
      <w:lvlJc w:val="left"/>
      <w:pPr>
        <w:tabs>
          <w:tab w:val="num" w:pos="360"/>
        </w:tabs>
        <w:ind w:left="360" w:hanging="360"/>
      </w:pPr>
      <w:rPr>
        <w:rFonts w:ascii="Symbol" w:hAnsi="Symbol" w:cs="Symbol" w:hint="default"/>
      </w:rPr>
    </w:lvl>
  </w:abstractNum>
  <w:abstractNum w:abstractNumId="3">
    <w:nsid w:val="006F4CE9"/>
    <w:multiLevelType w:val="multilevel"/>
    <w:tmpl w:val="9440F2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78D6B62"/>
    <w:multiLevelType w:val="hybridMultilevel"/>
    <w:tmpl w:val="DC38CDF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5">
    <w:nsid w:val="123B1132"/>
    <w:multiLevelType w:val="hybridMultilevel"/>
    <w:tmpl w:val="A2948B8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6">
    <w:nsid w:val="146108A6"/>
    <w:multiLevelType w:val="hybridMultilevel"/>
    <w:tmpl w:val="0FEC4F6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7">
    <w:nsid w:val="152445B0"/>
    <w:multiLevelType w:val="multilevel"/>
    <w:tmpl w:val="4B2C4F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98C3C2C"/>
    <w:multiLevelType w:val="hybridMultilevel"/>
    <w:tmpl w:val="C35886B6"/>
    <w:lvl w:ilvl="0" w:tplc="0C090001">
      <w:start w:val="1"/>
      <w:numFmt w:val="bullet"/>
      <w:lvlText w:val=""/>
      <w:lvlJc w:val="left"/>
      <w:pPr>
        <w:ind w:left="723" w:hanging="360"/>
      </w:pPr>
      <w:rPr>
        <w:rFonts w:ascii="Symbol" w:hAnsi="Symbol" w:hint="default"/>
      </w:rPr>
    </w:lvl>
    <w:lvl w:ilvl="1" w:tplc="0C090001">
      <w:start w:val="1"/>
      <w:numFmt w:val="bullet"/>
      <w:lvlText w:val=""/>
      <w:lvlJc w:val="left"/>
      <w:pPr>
        <w:ind w:left="1443" w:hanging="360"/>
      </w:pPr>
      <w:rPr>
        <w:rFonts w:ascii="Symbol" w:hAnsi="Symbol" w:hint="default"/>
      </w:rPr>
    </w:lvl>
    <w:lvl w:ilvl="2" w:tplc="0C090001">
      <w:start w:val="1"/>
      <w:numFmt w:val="bullet"/>
      <w:lvlText w:val=""/>
      <w:lvlJc w:val="left"/>
      <w:pPr>
        <w:ind w:left="1069" w:hanging="360"/>
      </w:pPr>
      <w:rPr>
        <w:rFonts w:ascii="Symbol" w:hAnsi="Symbol" w:hint="default"/>
      </w:rPr>
    </w:lvl>
    <w:lvl w:ilvl="3" w:tplc="0C090001">
      <w:start w:val="1"/>
      <w:numFmt w:val="bullet"/>
      <w:lvlText w:val=""/>
      <w:lvlJc w:val="left"/>
      <w:pPr>
        <w:ind w:left="2883" w:hanging="360"/>
      </w:pPr>
      <w:rPr>
        <w:rFonts w:ascii="Symbol" w:hAnsi="Symbol" w:hint="default"/>
      </w:rPr>
    </w:lvl>
    <w:lvl w:ilvl="4" w:tplc="0C090003">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9">
    <w:nsid w:val="1C9E17A0"/>
    <w:multiLevelType w:val="hybridMultilevel"/>
    <w:tmpl w:val="FA2E4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5E1820"/>
    <w:multiLevelType w:val="hybridMultilevel"/>
    <w:tmpl w:val="63202B4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1">
    <w:nsid w:val="26FA76F2"/>
    <w:multiLevelType w:val="hybridMultilevel"/>
    <w:tmpl w:val="C1AEC006"/>
    <w:lvl w:ilvl="0" w:tplc="0C090001">
      <w:start w:val="1"/>
      <w:numFmt w:val="bullet"/>
      <w:lvlText w:val=""/>
      <w:lvlJc w:val="left"/>
      <w:pPr>
        <w:ind w:left="720" w:hanging="360"/>
      </w:pPr>
      <w:rPr>
        <w:rFonts w:ascii="Symbol" w:hAnsi="Symbol" w:cs="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27495D8D"/>
    <w:multiLevelType w:val="multilevel"/>
    <w:tmpl w:val="4F2A76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B6C0C92"/>
    <w:multiLevelType w:val="hybridMultilevel"/>
    <w:tmpl w:val="45BEE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D45422"/>
    <w:multiLevelType w:val="hybridMultilevel"/>
    <w:tmpl w:val="738C22B0"/>
    <w:lvl w:ilvl="0" w:tplc="0D365286">
      <w:start w:val="1"/>
      <w:numFmt w:val="bullet"/>
      <w:pStyle w:val="KeyMessageTex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2FEB78FF"/>
    <w:multiLevelType w:val="multilevel"/>
    <w:tmpl w:val="47085E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0D5149B"/>
    <w:multiLevelType w:val="multilevel"/>
    <w:tmpl w:val="47200D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0DD4738"/>
    <w:multiLevelType w:val="hybridMultilevel"/>
    <w:tmpl w:val="C9CC4E2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8">
    <w:nsid w:val="315B3B8E"/>
    <w:multiLevelType w:val="multilevel"/>
    <w:tmpl w:val="405EB89C"/>
    <w:lvl w:ilvl="0">
      <w:start w:val="1"/>
      <w:numFmt w:val="bullet"/>
      <w:pStyle w:val="ListBullet"/>
      <w:lvlText w:val="•"/>
      <w:lvlJc w:val="left"/>
      <w:pPr>
        <w:ind w:left="340" w:hanging="340"/>
      </w:pPr>
      <w:rPr>
        <w:rFonts w:ascii="Garamond" w:hAnsi="Garamond" w:cs="Garamond" w:hint="default"/>
      </w:rPr>
    </w:lvl>
    <w:lvl w:ilvl="1">
      <w:start w:val="1"/>
      <w:numFmt w:val="bullet"/>
      <w:pStyle w:val="ListBullet2"/>
      <w:lvlText w:val="−"/>
      <w:lvlJc w:val="left"/>
      <w:pPr>
        <w:ind w:left="680" w:hanging="340"/>
      </w:pPr>
      <w:rPr>
        <w:rFonts w:ascii="Garamond" w:hAnsi="Garamond" w:cs="Garamond" w:hint="default"/>
        <w:sz w:val="24"/>
        <w:szCs w:val="24"/>
      </w:rPr>
    </w:lvl>
    <w:lvl w:ilvl="2">
      <w:start w:val="1"/>
      <w:numFmt w:val="bullet"/>
      <w:pStyle w:val="ListBullet3"/>
      <w:lvlText w:val="…"/>
      <w:lvlJc w:val="left"/>
      <w:pPr>
        <w:ind w:left="1020" w:hanging="340"/>
      </w:pPr>
      <w:rPr>
        <w:rFonts w:ascii="Garamond" w:hAnsi="Garamond" w:cs="Garamond" w:hint="default"/>
      </w:rPr>
    </w:lvl>
    <w:lvl w:ilvl="3">
      <w:start w:val="1"/>
      <w:numFmt w:val="none"/>
      <w:lvlText w:val="(%4)"/>
      <w:lvlJc w:val="left"/>
      <w:pPr>
        <w:ind w:left="1360" w:hanging="340"/>
      </w:pPr>
      <w:rPr>
        <w:rFonts w:hint="default"/>
      </w:rPr>
    </w:lvl>
    <w:lvl w:ilvl="4">
      <w:start w:val="1"/>
      <w:numFmt w:val="none"/>
      <w:lvlText w:val="(%5)"/>
      <w:lvlJc w:val="left"/>
      <w:pPr>
        <w:ind w:left="1700" w:hanging="340"/>
      </w:pPr>
      <w:rPr>
        <w:rFonts w:hint="default"/>
      </w:rPr>
    </w:lvl>
    <w:lvl w:ilvl="5">
      <w:start w:val="1"/>
      <w:numFmt w:val="none"/>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9">
    <w:nsid w:val="32790AA1"/>
    <w:multiLevelType w:val="hybridMultilevel"/>
    <w:tmpl w:val="E442415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0">
    <w:nsid w:val="3C7A5C5D"/>
    <w:multiLevelType w:val="hybridMultilevel"/>
    <w:tmpl w:val="35986CC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1">
    <w:nsid w:val="43543D25"/>
    <w:multiLevelType w:val="hybridMultilevel"/>
    <w:tmpl w:val="D4BCD9F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2">
    <w:nsid w:val="60D50BDE"/>
    <w:multiLevelType w:val="hybridMultilevel"/>
    <w:tmpl w:val="B046FB3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3">
    <w:nsid w:val="61B654FB"/>
    <w:multiLevelType w:val="multilevel"/>
    <w:tmpl w:val="EAB001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664B254B"/>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683F1090"/>
    <w:multiLevelType w:val="hybridMultilevel"/>
    <w:tmpl w:val="260C1F8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6">
    <w:nsid w:val="68A312C5"/>
    <w:multiLevelType w:val="multilevel"/>
    <w:tmpl w:val="7E0642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6A4A75E7"/>
    <w:multiLevelType w:val="hybridMultilevel"/>
    <w:tmpl w:val="FE76B23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8">
    <w:nsid w:val="6BD926F7"/>
    <w:multiLevelType w:val="hybridMultilevel"/>
    <w:tmpl w:val="F324534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9">
    <w:nsid w:val="76336397"/>
    <w:multiLevelType w:val="hybridMultilevel"/>
    <w:tmpl w:val="DE2A888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0">
    <w:nsid w:val="79E404AD"/>
    <w:multiLevelType w:val="hybridMultilevel"/>
    <w:tmpl w:val="2754476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1">
    <w:nsid w:val="7AF25842"/>
    <w:multiLevelType w:val="hybridMultilevel"/>
    <w:tmpl w:val="5A7CDDF0"/>
    <w:lvl w:ilvl="0" w:tplc="0C090001">
      <w:start w:val="1"/>
      <w:numFmt w:val="bullet"/>
      <w:lvlText w:val=""/>
      <w:lvlJc w:val="left"/>
      <w:pPr>
        <w:ind w:left="780" w:hanging="360"/>
      </w:pPr>
      <w:rPr>
        <w:rFonts w:ascii="Symbol" w:hAnsi="Symbol" w:cs="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cs="Wingdings" w:hint="default"/>
      </w:rPr>
    </w:lvl>
    <w:lvl w:ilvl="3" w:tplc="0C090001">
      <w:start w:val="1"/>
      <w:numFmt w:val="bullet"/>
      <w:lvlText w:val=""/>
      <w:lvlJc w:val="left"/>
      <w:pPr>
        <w:ind w:left="2940" w:hanging="360"/>
      </w:pPr>
      <w:rPr>
        <w:rFonts w:ascii="Symbol" w:hAnsi="Symbol" w:cs="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cs="Wingdings" w:hint="default"/>
      </w:rPr>
    </w:lvl>
    <w:lvl w:ilvl="6" w:tplc="0C090001">
      <w:start w:val="1"/>
      <w:numFmt w:val="bullet"/>
      <w:lvlText w:val=""/>
      <w:lvlJc w:val="left"/>
      <w:pPr>
        <w:ind w:left="5100" w:hanging="360"/>
      </w:pPr>
      <w:rPr>
        <w:rFonts w:ascii="Symbol" w:hAnsi="Symbol" w:cs="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cs="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4"/>
  </w:num>
  <w:num w:numId="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6"/>
  </w:num>
  <w:num w:numId="11">
    <w:abstractNumId w:val="5"/>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6"/>
  </w:num>
  <w:num w:numId="15">
    <w:abstractNumId w:val="12"/>
  </w:num>
  <w:num w:numId="16">
    <w:abstractNumId w:val="16"/>
  </w:num>
  <w:num w:numId="17">
    <w:abstractNumId w:val="15"/>
  </w:num>
  <w:num w:numId="18">
    <w:abstractNumId w:val="3"/>
  </w:num>
  <w:num w:numId="19">
    <w:abstractNumId w:val="7"/>
  </w:num>
  <w:num w:numId="20">
    <w:abstractNumId w:val="23"/>
  </w:num>
  <w:num w:numId="21">
    <w:abstractNumId w:val="20"/>
  </w:num>
  <w:num w:numId="22">
    <w:abstractNumId w:val="21"/>
  </w:num>
  <w:num w:numId="23">
    <w:abstractNumId w:val="19"/>
  </w:num>
  <w:num w:numId="24">
    <w:abstractNumId w:val="29"/>
  </w:num>
  <w:num w:numId="25">
    <w:abstractNumId w:val="4"/>
  </w:num>
  <w:num w:numId="26">
    <w:abstractNumId w:val="31"/>
  </w:num>
  <w:num w:numId="27">
    <w:abstractNumId w:val="10"/>
  </w:num>
  <w:num w:numId="28">
    <w:abstractNumId w:val="25"/>
  </w:num>
  <w:num w:numId="29">
    <w:abstractNumId w:val="28"/>
  </w:num>
  <w:num w:numId="30">
    <w:abstractNumId w:val="17"/>
  </w:num>
  <w:num w:numId="31">
    <w:abstractNumId w:val="22"/>
  </w:num>
  <w:num w:numId="32">
    <w:abstractNumId w:val="27"/>
  </w:num>
  <w:num w:numId="33">
    <w:abstractNumId w:val="8"/>
  </w:num>
  <w:num w:numId="34">
    <w:abstractNumId w:val="13"/>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67AE"/>
    <w:rsid w:val="00003730"/>
    <w:rsid w:val="000042EC"/>
    <w:rsid w:val="00005D1E"/>
    <w:rsid w:val="0001256A"/>
    <w:rsid w:val="000128F6"/>
    <w:rsid w:val="0001329D"/>
    <w:rsid w:val="000155B9"/>
    <w:rsid w:val="00016FC9"/>
    <w:rsid w:val="00022357"/>
    <w:rsid w:val="00022FEB"/>
    <w:rsid w:val="000234A8"/>
    <w:rsid w:val="00023DEB"/>
    <w:rsid w:val="00024433"/>
    <w:rsid w:val="00024B9B"/>
    <w:rsid w:val="000250EF"/>
    <w:rsid w:val="0002614C"/>
    <w:rsid w:val="00026A44"/>
    <w:rsid w:val="00026C33"/>
    <w:rsid w:val="000275CF"/>
    <w:rsid w:val="000348FD"/>
    <w:rsid w:val="00034912"/>
    <w:rsid w:val="00035E08"/>
    <w:rsid w:val="0003736B"/>
    <w:rsid w:val="00040AAE"/>
    <w:rsid w:val="00041B22"/>
    <w:rsid w:val="00042944"/>
    <w:rsid w:val="000440F4"/>
    <w:rsid w:val="00044352"/>
    <w:rsid w:val="00046079"/>
    <w:rsid w:val="00052869"/>
    <w:rsid w:val="000554DE"/>
    <w:rsid w:val="00060CEA"/>
    <w:rsid w:val="000612FC"/>
    <w:rsid w:val="000632F8"/>
    <w:rsid w:val="00066710"/>
    <w:rsid w:val="000672B7"/>
    <w:rsid w:val="00067ACA"/>
    <w:rsid w:val="00070543"/>
    <w:rsid w:val="000711C0"/>
    <w:rsid w:val="00071B9F"/>
    <w:rsid w:val="0007348E"/>
    <w:rsid w:val="0007378C"/>
    <w:rsid w:val="000741C3"/>
    <w:rsid w:val="0007484D"/>
    <w:rsid w:val="00075237"/>
    <w:rsid w:val="000774A3"/>
    <w:rsid w:val="000823B7"/>
    <w:rsid w:val="00082AA6"/>
    <w:rsid w:val="000832DA"/>
    <w:rsid w:val="000857E7"/>
    <w:rsid w:val="000862C7"/>
    <w:rsid w:val="00086AD3"/>
    <w:rsid w:val="00087632"/>
    <w:rsid w:val="00087C78"/>
    <w:rsid w:val="00090093"/>
    <w:rsid w:val="000919B7"/>
    <w:rsid w:val="00092238"/>
    <w:rsid w:val="00092825"/>
    <w:rsid w:val="00092D50"/>
    <w:rsid w:val="00093A61"/>
    <w:rsid w:val="00093B32"/>
    <w:rsid w:val="000A0284"/>
    <w:rsid w:val="000A3AF3"/>
    <w:rsid w:val="000A40F1"/>
    <w:rsid w:val="000A4A51"/>
    <w:rsid w:val="000A772B"/>
    <w:rsid w:val="000B0906"/>
    <w:rsid w:val="000B40EA"/>
    <w:rsid w:val="000B4134"/>
    <w:rsid w:val="000B4E42"/>
    <w:rsid w:val="000B5683"/>
    <w:rsid w:val="000B56AB"/>
    <w:rsid w:val="000B60DA"/>
    <w:rsid w:val="000C1B14"/>
    <w:rsid w:val="000C7E99"/>
    <w:rsid w:val="000C7EB1"/>
    <w:rsid w:val="000D0781"/>
    <w:rsid w:val="000D099E"/>
    <w:rsid w:val="000D1A17"/>
    <w:rsid w:val="000D1D08"/>
    <w:rsid w:val="000D1E2E"/>
    <w:rsid w:val="000D2CE5"/>
    <w:rsid w:val="000D3029"/>
    <w:rsid w:val="000D4376"/>
    <w:rsid w:val="000D4B36"/>
    <w:rsid w:val="000D67AB"/>
    <w:rsid w:val="000E132F"/>
    <w:rsid w:val="000E1C35"/>
    <w:rsid w:val="000E3FCA"/>
    <w:rsid w:val="000E4DB3"/>
    <w:rsid w:val="000E755F"/>
    <w:rsid w:val="000F0971"/>
    <w:rsid w:val="000F38FB"/>
    <w:rsid w:val="000F3DF7"/>
    <w:rsid w:val="000F6328"/>
    <w:rsid w:val="000F6A4F"/>
    <w:rsid w:val="001033A9"/>
    <w:rsid w:val="00104CB7"/>
    <w:rsid w:val="00107F83"/>
    <w:rsid w:val="0011019D"/>
    <w:rsid w:val="00110DBF"/>
    <w:rsid w:val="001126AB"/>
    <w:rsid w:val="00113473"/>
    <w:rsid w:val="001138C8"/>
    <w:rsid w:val="00114B84"/>
    <w:rsid w:val="00115E92"/>
    <w:rsid w:val="00115EEA"/>
    <w:rsid w:val="00116701"/>
    <w:rsid w:val="00117667"/>
    <w:rsid w:val="00117986"/>
    <w:rsid w:val="00117AFB"/>
    <w:rsid w:val="0012009E"/>
    <w:rsid w:val="00121727"/>
    <w:rsid w:val="00122724"/>
    <w:rsid w:val="00125761"/>
    <w:rsid w:val="00126A85"/>
    <w:rsid w:val="00126BC8"/>
    <w:rsid w:val="001276F4"/>
    <w:rsid w:val="001328A3"/>
    <w:rsid w:val="001340DC"/>
    <w:rsid w:val="00134544"/>
    <w:rsid w:val="00135541"/>
    <w:rsid w:val="00137D5D"/>
    <w:rsid w:val="00140661"/>
    <w:rsid w:val="001407A1"/>
    <w:rsid w:val="001409E2"/>
    <w:rsid w:val="00140BBC"/>
    <w:rsid w:val="00141343"/>
    <w:rsid w:val="0014142D"/>
    <w:rsid w:val="00141460"/>
    <w:rsid w:val="001414DB"/>
    <w:rsid w:val="00144472"/>
    <w:rsid w:val="001458B1"/>
    <w:rsid w:val="001472C6"/>
    <w:rsid w:val="00147F7C"/>
    <w:rsid w:val="00151C03"/>
    <w:rsid w:val="001520E5"/>
    <w:rsid w:val="0015228A"/>
    <w:rsid w:val="001526D9"/>
    <w:rsid w:val="0015286B"/>
    <w:rsid w:val="00153873"/>
    <w:rsid w:val="00155A52"/>
    <w:rsid w:val="001564CD"/>
    <w:rsid w:val="00157926"/>
    <w:rsid w:val="00157CE3"/>
    <w:rsid w:val="00161C47"/>
    <w:rsid w:val="00162E62"/>
    <w:rsid w:val="00163241"/>
    <w:rsid w:val="00165CA6"/>
    <w:rsid w:val="001668AF"/>
    <w:rsid w:val="0016753E"/>
    <w:rsid w:val="00167EE3"/>
    <w:rsid w:val="001704E3"/>
    <w:rsid w:val="001716DE"/>
    <w:rsid w:val="001722C6"/>
    <w:rsid w:val="00172B3C"/>
    <w:rsid w:val="0017396A"/>
    <w:rsid w:val="00174BEF"/>
    <w:rsid w:val="001764FD"/>
    <w:rsid w:val="0017655D"/>
    <w:rsid w:val="001767F1"/>
    <w:rsid w:val="001775EE"/>
    <w:rsid w:val="001776BD"/>
    <w:rsid w:val="00180A99"/>
    <w:rsid w:val="001818DE"/>
    <w:rsid w:val="00181BA5"/>
    <w:rsid w:val="001820C9"/>
    <w:rsid w:val="0018273B"/>
    <w:rsid w:val="00182890"/>
    <w:rsid w:val="00182BAA"/>
    <w:rsid w:val="00182DA4"/>
    <w:rsid w:val="00183EED"/>
    <w:rsid w:val="001845E3"/>
    <w:rsid w:val="00185DA8"/>
    <w:rsid w:val="00185DD4"/>
    <w:rsid w:val="00190132"/>
    <w:rsid w:val="00191EB7"/>
    <w:rsid w:val="00192543"/>
    <w:rsid w:val="0019259B"/>
    <w:rsid w:val="00193B5D"/>
    <w:rsid w:val="00193BB6"/>
    <w:rsid w:val="001960FC"/>
    <w:rsid w:val="00197A46"/>
    <w:rsid w:val="00197DED"/>
    <w:rsid w:val="001A002D"/>
    <w:rsid w:val="001A0EB8"/>
    <w:rsid w:val="001A129D"/>
    <w:rsid w:val="001A14CC"/>
    <w:rsid w:val="001A1736"/>
    <w:rsid w:val="001A1CD0"/>
    <w:rsid w:val="001A76AA"/>
    <w:rsid w:val="001A7C83"/>
    <w:rsid w:val="001B0419"/>
    <w:rsid w:val="001B3F90"/>
    <w:rsid w:val="001B583B"/>
    <w:rsid w:val="001C1B94"/>
    <w:rsid w:val="001C20DD"/>
    <w:rsid w:val="001C475D"/>
    <w:rsid w:val="001C6C4C"/>
    <w:rsid w:val="001C7167"/>
    <w:rsid w:val="001D144C"/>
    <w:rsid w:val="001D1703"/>
    <w:rsid w:val="001D2237"/>
    <w:rsid w:val="001D2393"/>
    <w:rsid w:val="001D2713"/>
    <w:rsid w:val="001D30D0"/>
    <w:rsid w:val="001D382C"/>
    <w:rsid w:val="001D39F4"/>
    <w:rsid w:val="001D3AB2"/>
    <w:rsid w:val="001D491E"/>
    <w:rsid w:val="001D4D60"/>
    <w:rsid w:val="001D5939"/>
    <w:rsid w:val="001D6648"/>
    <w:rsid w:val="001D69A8"/>
    <w:rsid w:val="001D7651"/>
    <w:rsid w:val="001E5760"/>
    <w:rsid w:val="001E60CB"/>
    <w:rsid w:val="001F1752"/>
    <w:rsid w:val="001F1887"/>
    <w:rsid w:val="001F31E4"/>
    <w:rsid w:val="001F32DC"/>
    <w:rsid w:val="001F3748"/>
    <w:rsid w:val="001F3BBD"/>
    <w:rsid w:val="001F6821"/>
    <w:rsid w:val="00201F6F"/>
    <w:rsid w:val="00202D85"/>
    <w:rsid w:val="00203215"/>
    <w:rsid w:val="0020379C"/>
    <w:rsid w:val="0020709E"/>
    <w:rsid w:val="00207C87"/>
    <w:rsid w:val="00211537"/>
    <w:rsid w:val="0021271E"/>
    <w:rsid w:val="002134C5"/>
    <w:rsid w:val="00213E1D"/>
    <w:rsid w:val="00214FC0"/>
    <w:rsid w:val="002158AB"/>
    <w:rsid w:val="002158F8"/>
    <w:rsid w:val="00216509"/>
    <w:rsid w:val="002167AD"/>
    <w:rsid w:val="00216DFB"/>
    <w:rsid w:val="00217114"/>
    <w:rsid w:val="002176D1"/>
    <w:rsid w:val="00217705"/>
    <w:rsid w:val="00221394"/>
    <w:rsid w:val="00222362"/>
    <w:rsid w:val="00222B2B"/>
    <w:rsid w:val="002258CA"/>
    <w:rsid w:val="00225E68"/>
    <w:rsid w:val="002261C7"/>
    <w:rsid w:val="00227477"/>
    <w:rsid w:val="002301DF"/>
    <w:rsid w:val="0023068C"/>
    <w:rsid w:val="0023172F"/>
    <w:rsid w:val="0023234B"/>
    <w:rsid w:val="00232662"/>
    <w:rsid w:val="00233CAF"/>
    <w:rsid w:val="002342E0"/>
    <w:rsid w:val="002369CF"/>
    <w:rsid w:val="00236D2F"/>
    <w:rsid w:val="00237FA2"/>
    <w:rsid w:val="0024030D"/>
    <w:rsid w:val="00240D3E"/>
    <w:rsid w:val="00243AC7"/>
    <w:rsid w:val="002446BA"/>
    <w:rsid w:val="00244ED4"/>
    <w:rsid w:val="00245062"/>
    <w:rsid w:val="0024550C"/>
    <w:rsid w:val="00245941"/>
    <w:rsid w:val="00245F74"/>
    <w:rsid w:val="00247650"/>
    <w:rsid w:val="00247D64"/>
    <w:rsid w:val="002505E0"/>
    <w:rsid w:val="00253822"/>
    <w:rsid w:val="00254836"/>
    <w:rsid w:val="00257CD3"/>
    <w:rsid w:val="00260733"/>
    <w:rsid w:val="00260FD1"/>
    <w:rsid w:val="0026141D"/>
    <w:rsid w:val="002647FB"/>
    <w:rsid w:val="00266B06"/>
    <w:rsid w:val="00271179"/>
    <w:rsid w:val="002717B6"/>
    <w:rsid w:val="00271EE7"/>
    <w:rsid w:val="00274322"/>
    <w:rsid w:val="002770B7"/>
    <w:rsid w:val="00277BB9"/>
    <w:rsid w:val="002832E8"/>
    <w:rsid w:val="00283F04"/>
    <w:rsid w:val="0028476A"/>
    <w:rsid w:val="00284D95"/>
    <w:rsid w:val="00285843"/>
    <w:rsid w:val="0028630C"/>
    <w:rsid w:val="0029023D"/>
    <w:rsid w:val="00291453"/>
    <w:rsid w:val="00291CF1"/>
    <w:rsid w:val="002921D3"/>
    <w:rsid w:val="00293722"/>
    <w:rsid w:val="00296042"/>
    <w:rsid w:val="00296D4F"/>
    <w:rsid w:val="002A01B5"/>
    <w:rsid w:val="002A047F"/>
    <w:rsid w:val="002A0D72"/>
    <w:rsid w:val="002A17CD"/>
    <w:rsid w:val="002A218D"/>
    <w:rsid w:val="002A21C5"/>
    <w:rsid w:val="002A26A9"/>
    <w:rsid w:val="002A26AF"/>
    <w:rsid w:val="002A506F"/>
    <w:rsid w:val="002A5526"/>
    <w:rsid w:val="002A5F5F"/>
    <w:rsid w:val="002B2FC4"/>
    <w:rsid w:val="002B3023"/>
    <w:rsid w:val="002B357B"/>
    <w:rsid w:val="002B3B5D"/>
    <w:rsid w:val="002B3DA5"/>
    <w:rsid w:val="002B433A"/>
    <w:rsid w:val="002B6C3F"/>
    <w:rsid w:val="002B7AAE"/>
    <w:rsid w:val="002C0EE5"/>
    <w:rsid w:val="002C12B6"/>
    <w:rsid w:val="002C235D"/>
    <w:rsid w:val="002C2B4B"/>
    <w:rsid w:val="002C3056"/>
    <w:rsid w:val="002C3395"/>
    <w:rsid w:val="002C3D65"/>
    <w:rsid w:val="002C3F12"/>
    <w:rsid w:val="002C44DE"/>
    <w:rsid w:val="002C491D"/>
    <w:rsid w:val="002C4970"/>
    <w:rsid w:val="002C4DF9"/>
    <w:rsid w:val="002C5036"/>
    <w:rsid w:val="002C6BCB"/>
    <w:rsid w:val="002C791E"/>
    <w:rsid w:val="002C7C32"/>
    <w:rsid w:val="002D0137"/>
    <w:rsid w:val="002D0E8E"/>
    <w:rsid w:val="002D0FA2"/>
    <w:rsid w:val="002D102C"/>
    <w:rsid w:val="002D3372"/>
    <w:rsid w:val="002D3D77"/>
    <w:rsid w:val="002D4B60"/>
    <w:rsid w:val="002D5B3C"/>
    <w:rsid w:val="002D6E11"/>
    <w:rsid w:val="002D6EEA"/>
    <w:rsid w:val="002E10B4"/>
    <w:rsid w:val="002E5E8D"/>
    <w:rsid w:val="002E66E6"/>
    <w:rsid w:val="002E7C50"/>
    <w:rsid w:val="002E7CEA"/>
    <w:rsid w:val="002F10DE"/>
    <w:rsid w:val="002F1107"/>
    <w:rsid w:val="002F11DB"/>
    <w:rsid w:val="002F283F"/>
    <w:rsid w:val="002F28D1"/>
    <w:rsid w:val="002F4487"/>
    <w:rsid w:val="002F49B9"/>
    <w:rsid w:val="002F6543"/>
    <w:rsid w:val="002F7069"/>
    <w:rsid w:val="002F7763"/>
    <w:rsid w:val="0030017E"/>
    <w:rsid w:val="003002A1"/>
    <w:rsid w:val="0030112C"/>
    <w:rsid w:val="00302E65"/>
    <w:rsid w:val="00303971"/>
    <w:rsid w:val="00303E74"/>
    <w:rsid w:val="003054A0"/>
    <w:rsid w:val="00306BE8"/>
    <w:rsid w:val="00306DA2"/>
    <w:rsid w:val="00311D8E"/>
    <w:rsid w:val="003145A9"/>
    <w:rsid w:val="00314BA1"/>
    <w:rsid w:val="00316536"/>
    <w:rsid w:val="00316E91"/>
    <w:rsid w:val="00317B7C"/>
    <w:rsid w:val="00317BB2"/>
    <w:rsid w:val="0032296C"/>
    <w:rsid w:val="003234B7"/>
    <w:rsid w:val="0032496F"/>
    <w:rsid w:val="003254B7"/>
    <w:rsid w:val="00326790"/>
    <w:rsid w:val="0032784B"/>
    <w:rsid w:val="00330792"/>
    <w:rsid w:val="00331681"/>
    <w:rsid w:val="003321A1"/>
    <w:rsid w:val="00332E75"/>
    <w:rsid w:val="0033608E"/>
    <w:rsid w:val="00336EFD"/>
    <w:rsid w:val="00337B1D"/>
    <w:rsid w:val="003405F4"/>
    <w:rsid w:val="00340EF1"/>
    <w:rsid w:val="003422A2"/>
    <w:rsid w:val="00342362"/>
    <w:rsid w:val="003439C5"/>
    <w:rsid w:val="00343D81"/>
    <w:rsid w:val="00346190"/>
    <w:rsid w:val="003465CF"/>
    <w:rsid w:val="0034672F"/>
    <w:rsid w:val="00347DC3"/>
    <w:rsid w:val="00350E75"/>
    <w:rsid w:val="00351288"/>
    <w:rsid w:val="0035142A"/>
    <w:rsid w:val="00351EED"/>
    <w:rsid w:val="00352A6C"/>
    <w:rsid w:val="00352BE2"/>
    <w:rsid w:val="00353894"/>
    <w:rsid w:val="00354D64"/>
    <w:rsid w:val="003562AB"/>
    <w:rsid w:val="0035719D"/>
    <w:rsid w:val="00357D62"/>
    <w:rsid w:val="00360E2B"/>
    <w:rsid w:val="00361173"/>
    <w:rsid w:val="00363755"/>
    <w:rsid w:val="00364190"/>
    <w:rsid w:val="0036607A"/>
    <w:rsid w:val="00366557"/>
    <w:rsid w:val="00366ACC"/>
    <w:rsid w:val="00366E3E"/>
    <w:rsid w:val="00371233"/>
    <w:rsid w:val="00371762"/>
    <w:rsid w:val="00371FCD"/>
    <w:rsid w:val="0037203F"/>
    <w:rsid w:val="003724A1"/>
    <w:rsid w:val="00373013"/>
    <w:rsid w:val="003731C2"/>
    <w:rsid w:val="00374687"/>
    <w:rsid w:val="00375021"/>
    <w:rsid w:val="003759F0"/>
    <w:rsid w:val="0038222B"/>
    <w:rsid w:val="00384CA1"/>
    <w:rsid w:val="0038541C"/>
    <w:rsid w:val="00385AA5"/>
    <w:rsid w:val="003860A8"/>
    <w:rsid w:val="0038724C"/>
    <w:rsid w:val="00387756"/>
    <w:rsid w:val="00391359"/>
    <w:rsid w:val="003941D9"/>
    <w:rsid w:val="00396255"/>
    <w:rsid w:val="0039627E"/>
    <w:rsid w:val="0039717B"/>
    <w:rsid w:val="00397A5A"/>
    <w:rsid w:val="003A028A"/>
    <w:rsid w:val="003A2DCA"/>
    <w:rsid w:val="003A430C"/>
    <w:rsid w:val="003A4E78"/>
    <w:rsid w:val="003A5500"/>
    <w:rsid w:val="003A67F3"/>
    <w:rsid w:val="003A79D9"/>
    <w:rsid w:val="003A7F05"/>
    <w:rsid w:val="003B13F8"/>
    <w:rsid w:val="003B1580"/>
    <w:rsid w:val="003B1AA2"/>
    <w:rsid w:val="003B49F7"/>
    <w:rsid w:val="003B5856"/>
    <w:rsid w:val="003B65D3"/>
    <w:rsid w:val="003C0E6C"/>
    <w:rsid w:val="003C22C0"/>
    <w:rsid w:val="003C3271"/>
    <w:rsid w:val="003D019A"/>
    <w:rsid w:val="003D0824"/>
    <w:rsid w:val="003D69E0"/>
    <w:rsid w:val="003D7C3C"/>
    <w:rsid w:val="003E1010"/>
    <w:rsid w:val="003E1E73"/>
    <w:rsid w:val="003E55E1"/>
    <w:rsid w:val="003E6D98"/>
    <w:rsid w:val="003F09F3"/>
    <w:rsid w:val="003F1526"/>
    <w:rsid w:val="003F21FF"/>
    <w:rsid w:val="003F2655"/>
    <w:rsid w:val="003F54AC"/>
    <w:rsid w:val="003F5B7C"/>
    <w:rsid w:val="003F7652"/>
    <w:rsid w:val="00401FC9"/>
    <w:rsid w:val="0040259D"/>
    <w:rsid w:val="0040469B"/>
    <w:rsid w:val="004060D4"/>
    <w:rsid w:val="004062BB"/>
    <w:rsid w:val="00406B29"/>
    <w:rsid w:val="00406C2C"/>
    <w:rsid w:val="00407F3A"/>
    <w:rsid w:val="00410211"/>
    <w:rsid w:val="0041308E"/>
    <w:rsid w:val="00415E4A"/>
    <w:rsid w:val="00417DB6"/>
    <w:rsid w:val="00417E97"/>
    <w:rsid w:val="00420B6A"/>
    <w:rsid w:val="00422BA5"/>
    <w:rsid w:val="00424341"/>
    <w:rsid w:val="004248C9"/>
    <w:rsid w:val="004264CA"/>
    <w:rsid w:val="00432B86"/>
    <w:rsid w:val="00435989"/>
    <w:rsid w:val="00435C69"/>
    <w:rsid w:val="00436057"/>
    <w:rsid w:val="00437166"/>
    <w:rsid w:val="00437CA0"/>
    <w:rsid w:val="0044263A"/>
    <w:rsid w:val="00443776"/>
    <w:rsid w:val="00444044"/>
    <w:rsid w:val="00444D29"/>
    <w:rsid w:val="0044523A"/>
    <w:rsid w:val="00445B6A"/>
    <w:rsid w:val="00446E83"/>
    <w:rsid w:val="00450AF5"/>
    <w:rsid w:val="00451152"/>
    <w:rsid w:val="0045160C"/>
    <w:rsid w:val="0045175C"/>
    <w:rsid w:val="00452AA3"/>
    <w:rsid w:val="00453034"/>
    <w:rsid w:val="00454C2D"/>
    <w:rsid w:val="00460FD8"/>
    <w:rsid w:val="00462496"/>
    <w:rsid w:val="00462803"/>
    <w:rsid w:val="00463D4D"/>
    <w:rsid w:val="00465430"/>
    <w:rsid w:val="00465637"/>
    <w:rsid w:val="00466AD3"/>
    <w:rsid w:val="00467BFD"/>
    <w:rsid w:val="00470987"/>
    <w:rsid w:val="004716AD"/>
    <w:rsid w:val="0047297D"/>
    <w:rsid w:val="00472C7E"/>
    <w:rsid w:val="00472E66"/>
    <w:rsid w:val="004743BA"/>
    <w:rsid w:val="0047581E"/>
    <w:rsid w:val="00476804"/>
    <w:rsid w:val="004818D6"/>
    <w:rsid w:val="00481DDA"/>
    <w:rsid w:val="004822B2"/>
    <w:rsid w:val="00483107"/>
    <w:rsid w:val="00484622"/>
    <w:rsid w:val="00485211"/>
    <w:rsid w:val="00485BAA"/>
    <w:rsid w:val="004866AB"/>
    <w:rsid w:val="00486F4A"/>
    <w:rsid w:val="0048797C"/>
    <w:rsid w:val="00490A70"/>
    <w:rsid w:val="0049203D"/>
    <w:rsid w:val="00492388"/>
    <w:rsid w:val="004928C6"/>
    <w:rsid w:val="004969E4"/>
    <w:rsid w:val="00496B0B"/>
    <w:rsid w:val="0049718B"/>
    <w:rsid w:val="00497733"/>
    <w:rsid w:val="004A1741"/>
    <w:rsid w:val="004A210E"/>
    <w:rsid w:val="004A22A7"/>
    <w:rsid w:val="004A4235"/>
    <w:rsid w:val="004B4633"/>
    <w:rsid w:val="004B52DC"/>
    <w:rsid w:val="004B684D"/>
    <w:rsid w:val="004B7234"/>
    <w:rsid w:val="004C1221"/>
    <w:rsid w:val="004C17E1"/>
    <w:rsid w:val="004C2E6C"/>
    <w:rsid w:val="004C49E0"/>
    <w:rsid w:val="004C4B2A"/>
    <w:rsid w:val="004C6E9D"/>
    <w:rsid w:val="004C72E3"/>
    <w:rsid w:val="004D082B"/>
    <w:rsid w:val="004D2796"/>
    <w:rsid w:val="004D2F34"/>
    <w:rsid w:val="004D7578"/>
    <w:rsid w:val="004D7587"/>
    <w:rsid w:val="004D75A0"/>
    <w:rsid w:val="004E07B1"/>
    <w:rsid w:val="004E112B"/>
    <w:rsid w:val="004E475B"/>
    <w:rsid w:val="004E4BFB"/>
    <w:rsid w:val="004E627C"/>
    <w:rsid w:val="004E6BDB"/>
    <w:rsid w:val="004E7E87"/>
    <w:rsid w:val="004F0C27"/>
    <w:rsid w:val="004F221E"/>
    <w:rsid w:val="00503529"/>
    <w:rsid w:val="00503E4F"/>
    <w:rsid w:val="00505D31"/>
    <w:rsid w:val="00506DB0"/>
    <w:rsid w:val="00511219"/>
    <w:rsid w:val="005116B3"/>
    <w:rsid w:val="00511E07"/>
    <w:rsid w:val="00512FEA"/>
    <w:rsid w:val="0051388C"/>
    <w:rsid w:val="00515F5B"/>
    <w:rsid w:val="00516610"/>
    <w:rsid w:val="00521A65"/>
    <w:rsid w:val="00521F69"/>
    <w:rsid w:val="005222D1"/>
    <w:rsid w:val="00525CA7"/>
    <w:rsid w:val="00526509"/>
    <w:rsid w:val="00526662"/>
    <w:rsid w:val="0053045A"/>
    <w:rsid w:val="005317F9"/>
    <w:rsid w:val="005326EC"/>
    <w:rsid w:val="005329DE"/>
    <w:rsid w:val="00533A30"/>
    <w:rsid w:val="00533E1E"/>
    <w:rsid w:val="00535599"/>
    <w:rsid w:val="005368BA"/>
    <w:rsid w:val="00536F5F"/>
    <w:rsid w:val="00537F10"/>
    <w:rsid w:val="00540305"/>
    <w:rsid w:val="005408AF"/>
    <w:rsid w:val="00540E64"/>
    <w:rsid w:val="00540FC1"/>
    <w:rsid w:val="005443BE"/>
    <w:rsid w:val="005444CB"/>
    <w:rsid w:val="005456E0"/>
    <w:rsid w:val="00545A75"/>
    <w:rsid w:val="00547C71"/>
    <w:rsid w:val="00554BB6"/>
    <w:rsid w:val="00555C16"/>
    <w:rsid w:val="005564F9"/>
    <w:rsid w:val="00556881"/>
    <w:rsid w:val="005662E8"/>
    <w:rsid w:val="005720E0"/>
    <w:rsid w:val="00573C5A"/>
    <w:rsid w:val="0057560F"/>
    <w:rsid w:val="00576E74"/>
    <w:rsid w:val="00577C9E"/>
    <w:rsid w:val="0058051A"/>
    <w:rsid w:val="00580E33"/>
    <w:rsid w:val="005879EE"/>
    <w:rsid w:val="0059295D"/>
    <w:rsid w:val="00593A69"/>
    <w:rsid w:val="00595919"/>
    <w:rsid w:val="00595CD5"/>
    <w:rsid w:val="005979F3"/>
    <w:rsid w:val="005A08A2"/>
    <w:rsid w:val="005A0DA2"/>
    <w:rsid w:val="005A457B"/>
    <w:rsid w:val="005A679C"/>
    <w:rsid w:val="005A697D"/>
    <w:rsid w:val="005B394A"/>
    <w:rsid w:val="005B6EE5"/>
    <w:rsid w:val="005B774D"/>
    <w:rsid w:val="005C07CD"/>
    <w:rsid w:val="005C10FE"/>
    <w:rsid w:val="005C26E2"/>
    <w:rsid w:val="005C45AA"/>
    <w:rsid w:val="005C506B"/>
    <w:rsid w:val="005C7091"/>
    <w:rsid w:val="005D007E"/>
    <w:rsid w:val="005D0A0F"/>
    <w:rsid w:val="005D0D51"/>
    <w:rsid w:val="005D3CD2"/>
    <w:rsid w:val="005D60BD"/>
    <w:rsid w:val="005D6D06"/>
    <w:rsid w:val="005D72C0"/>
    <w:rsid w:val="005E0908"/>
    <w:rsid w:val="005E0E7B"/>
    <w:rsid w:val="005E24A7"/>
    <w:rsid w:val="005E3AC3"/>
    <w:rsid w:val="005E4CF0"/>
    <w:rsid w:val="005E6CAF"/>
    <w:rsid w:val="005F11E0"/>
    <w:rsid w:val="005F2D7C"/>
    <w:rsid w:val="005F3105"/>
    <w:rsid w:val="005F31C9"/>
    <w:rsid w:val="005F4466"/>
    <w:rsid w:val="005F448B"/>
    <w:rsid w:val="005F496B"/>
    <w:rsid w:val="005F4AE2"/>
    <w:rsid w:val="005F604D"/>
    <w:rsid w:val="005F67CC"/>
    <w:rsid w:val="005F7CB7"/>
    <w:rsid w:val="00600617"/>
    <w:rsid w:val="00600F65"/>
    <w:rsid w:val="0060186D"/>
    <w:rsid w:val="006029F1"/>
    <w:rsid w:val="006036A5"/>
    <w:rsid w:val="006047F9"/>
    <w:rsid w:val="00606CAA"/>
    <w:rsid w:val="00611C67"/>
    <w:rsid w:val="00615099"/>
    <w:rsid w:val="00615DD3"/>
    <w:rsid w:val="006165B5"/>
    <w:rsid w:val="0062036A"/>
    <w:rsid w:val="006210E1"/>
    <w:rsid w:val="00622656"/>
    <w:rsid w:val="00625C07"/>
    <w:rsid w:val="00627983"/>
    <w:rsid w:val="00627C9C"/>
    <w:rsid w:val="00627F30"/>
    <w:rsid w:val="0063103D"/>
    <w:rsid w:val="00633B62"/>
    <w:rsid w:val="00634A24"/>
    <w:rsid w:val="006372B2"/>
    <w:rsid w:val="00637313"/>
    <w:rsid w:val="00640D13"/>
    <w:rsid w:val="00642BB2"/>
    <w:rsid w:val="00644583"/>
    <w:rsid w:val="00645443"/>
    <w:rsid w:val="00645C93"/>
    <w:rsid w:val="00646A47"/>
    <w:rsid w:val="00651807"/>
    <w:rsid w:val="006538EC"/>
    <w:rsid w:val="0065603C"/>
    <w:rsid w:val="00656CE6"/>
    <w:rsid w:val="00656CF3"/>
    <w:rsid w:val="006571CA"/>
    <w:rsid w:val="00657255"/>
    <w:rsid w:val="00657A56"/>
    <w:rsid w:val="00660C62"/>
    <w:rsid w:val="00661C5D"/>
    <w:rsid w:val="006636E5"/>
    <w:rsid w:val="006664E6"/>
    <w:rsid w:val="0067045E"/>
    <w:rsid w:val="006715C1"/>
    <w:rsid w:val="00671769"/>
    <w:rsid w:val="00672149"/>
    <w:rsid w:val="00672A71"/>
    <w:rsid w:val="00673261"/>
    <w:rsid w:val="006757E4"/>
    <w:rsid w:val="00676426"/>
    <w:rsid w:val="00680A14"/>
    <w:rsid w:val="00681031"/>
    <w:rsid w:val="006810E2"/>
    <w:rsid w:val="0068273F"/>
    <w:rsid w:val="00683B6F"/>
    <w:rsid w:val="00683E0A"/>
    <w:rsid w:val="0068451E"/>
    <w:rsid w:val="00684D08"/>
    <w:rsid w:val="00690285"/>
    <w:rsid w:val="00691174"/>
    <w:rsid w:val="00691975"/>
    <w:rsid w:val="00695DCB"/>
    <w:rsid w:val="00696CA1"/>
    <w:rsid w:val="00697607"/>
    <w:rsid w:val="0069781F"/>
    <w:rsid w:val="00697D46"/>
    <w:rsid w:val="006A02DD"/>
    <w:rsid w:val="006A0AA7"/>
    <w:rsid w:val="006A17A1"/>
    <w:rsid w:val="006A2218"/>
    <w:rsid w:val="006B0923"/>
    <w:rsid w:val="006B4D42"/>
    <w:rsid w:val="006B5758"/>
    <w:rsid w:val="006B60EF"/>
    <w:rsid w:val="006B74B1"/>
    <w:rsid w:val="006C0704"/>
    <w:rsid w:val="006C2458"/>
    <w:rsid w:val="006C4944"/>
    <w:rsid w:val="006C55CD"/>
    <w:rsid w:val="006D044F"/>
    <w:rsid w:val="006D10C3"/>
    <w:rsid w:val="006D136C"/>
    <w:rsid w:val="006D1A24"/>
    <w:rsid w:val="006D2727"/>
    <w:rsid w:val="006D2DA9"/>
    <w:rsid w:val="006D3C9F"/>
    <w:rsid w:val="006D470B"/>
    <w:rsid w:val="006E1A0A"/>
    <w:rsid w:val="006E32C0"/>
    <w:rsid w:val="006F7874"/>
    <w:rsid w:val="0070018F"/>
    <w:rsid w:val="00700876"/>
    <w:rsid w:val="00701376"/>
    <w:rsid w:val="007023F5"/>
    <w:rsid w:val="00702A04"/>
    <w:rsid w:val="0070532B"/>
    <w:rsid w:val="00705C91"/>
    <w:rsid w:val="00707462"/>
    <w:rsid w:val="00707CBB"/>
    <w:rsid w:val="007114F5"/>
    <w:rsid w:val="00711B68"/>
    <w:rsid w:val="0071399F"/>
    <w:rsid w:val="007165B9"/>
    <w:rsid w:val="007165E5"/>
    <w:rsid w:val="00716BBD"/>
    <w:rsid w:val="00720915"/>
    <w:rsid w:val="00720DF4"/>
    <w:rsid w:val="007214CB"/>
    <w:rsid w:val="0072156D"/>
    <w:rsid w:val="007236D0"/>
    <w:rsid w:val="00724667"/>
    <w:rsid w:val="00726B0D"/>
    <w:rsid w:val="0073000B"/>
    <w:rsid w:val="0073038B"/>
    <w:rsid w:val="007307F5"/>
    <w:rsid w:val="007321CB"/>
    <w:rsid w:val="0073264C"/>
    <w:rsid w:val="007360AD"/>
    <w:rsid w:val="00740E75"/>
    <w:rsid w:val="00742293"/>
    <w:rsid w:val="007429A1"/>
    <w:rsid w:val="00742BE5"/>
    <w:rsid w:val="00744B60"/>
    <w:rsid w:val="00746DDB"/>
    <w:rsid w:val="007511D6"/>
    <w:rsid w:val="00752B37"/>
    <w:rsid w:val="0075315D"/>
    <w:rsid w:val="00753D4B"/>
    <w:rsid w:val="00754496"/>
    <w:rsid w:val="00755B7E"/>
    <w:rsid w:val="00756E20"/>
    <w:rsid w:val="007571D6"/>
    <w:rsid w:val="00760749"/>
    <w:rsid w:val="0076225F"/>
    <w:rsid w:val="007642D5"/>
    <w:rsid w:val="007649C4"/>
    <w:rsid w:val="00765D77"/>
    <w:rsid w:val="00766540"/>
    <w:rsid w:val="007675A4"/>
    <w:rsid w:val="0076790D"/>
    <w:rsid w:val="00773798"/>
    <w:rsid w:val="00774566"/>
    <w:rsid w:val="00774C31"/>
    <w:rsid w:val="00775E5F"/>
    <w:rsid w:val="00776B80"/>
    <w:rsid w:val="0077786C"/>
    <w:rsid w:val="00780546"/>
    <w:rsid w:val="00780D53"/>
    <w:rsid w:val="0078166F"/>
    <w:rsid w:val="00781D9B"/>
    <w:rsid w:val="00782683"/>
    <w:rsid w:val="0078416A"/>
    <w:rsid w:val="00785096"/>
    <w:rsid w:val="00786B2E"/>
    <w:rsid w:val="00787720"/>
    <w:rsid w:val="00790B73"/>
    <w:rsid w:val="007931CD"/>
    <w:rsid w:val="00793D15"/>
    <w:rsid w:val="00793DDC"/>
    <w:rsid w:val="007940D2"/>
    <w:rsid w:val="0079575D"/>
    <w:rsid w:val="00795B89"/>
    <w:rsid w:val="007968F5"/>
    <w:rsid w:val="007A1632"/>
    <w:rsid w:val="007A1D64"/>
    <w:rsid w:val="007A3967"/>
    <w:rsid w:val="007A650D"/>
    <w:rsid w:val="007B246F"/>
    <w:rsid w:val="007B2EED"/>
    <w:rsid w:val="007B2F91"/>
    <w:rsid w:val="007B63F6"/>
    <w:rsid w:val="007B6614"/>
    <w:rsid w:val="007C0C3B"/>
    <w:rsid w:val="007C1AEE"/>
    <w:rsid w:val="007C1F9B"/>
    <w:rsid w:val="007C30E6"/>
    <w:rsid w:val="007C32FF"/>
    <w:rsid w:val="007C4F2A"/>
    <w:rsid w:val="007C5C6B"/>
    <w:rsid w:val="007C5EE4"/>
    <w:rsid w:val="007C7949"/>
    <w:rsid w:val="007D12CA"/>
    <w:rsid w:val="007D2290"/>
    <w:rsid w:val="007D2463"/>
    <w:rsid w:val="007D333B"/>
    <w:rsid w:val="007D3EE5"/>
    <w:rsid w:val="007D5C6A"/>
    <w:rsid w:val="007D5D66"/>
    <w:rsid w:val="007D60D1"/>
    <w:rsid w:val="007D6B89"/>
    <w:rsid w:val="007D70D1"/>
    <w:rsid w:val="007E0700"/>
    <w:rsid w:val="007E1F02"/>
    <w:rsid w:val="007E2D47"/>
    <w:rsid w:val="007E3268"/>
    <w:rsid w:val="007E5220"/>
    <w:rsid w:val="007E55B3"/>
    <w:rsid w:val="007F0213"/>
    <w:rsid w:val="007F0BA6"/>
    <w:rsid w:val="007F1124"/>
    <w:rsid w:val="007F262A"/>
    <w:rsid w:val="007F3B20"/>
    <w:rsid w:val="007F4FE3"/>
    <w:rsid w:val="00801CA9"/>
    <w:rsid w:val="0080259A"/>
    <w:rsid w:val="008025EA"/>
    <w:rsid w:val="00803FFF"/>
    <w:rsid w:val="008046CD"/>
    <w:rsid w:val="00804949"/>
    <w:rsid w:val="00804CAC"/>
    <w:rsid w:val="00805333"/>
    <w:rsid w:val="00807E0C"/>
    <w:rsid w:val="00812FEF"/>
    <w:rsid w:val="00813706"/>
    <w:rsid w:val="0081590E"/>
    <w:rsid w:val="00816C5F"/>
    <w:rsid w:val="00817AB4"/>
    <w:rsid w:val="0082204D"/>
    <w:rsid w:val="00822F6A"/>
    <w:rsid w:val="00825294"/>
    <w:rsid w:val="00825CF4"/>
    <w:rsid w:val="0082601F"/>
    <w:rsid w:val="0082648E"/>
    <w:rsid w:val="00826DFA"/>
    <w:rsid w:val="00830793"/>
    <w:rsid w:val="0083164D"/>
    <w:rsid w:val="00831E9A"/>
    <w:rsid w:val="00832D5F"/>
    <w:rsid w:val="00833233"/>
    <w:rsid w:val="00834424"/>
    <w:rsid w:val="00835054"/>
    <w:rsid w:val="00840809"/>
    <w:rsid w:val="008408FF"/>
    <w:rsid w:val="008417FF"/>
    <w:rsid w:val="00842A4B"/>
    <w:rsid w:val="008447DD"/>
    <w:rsid w:val="00846040"/>
    <w:rsid w:val="00846A23"/>
    <w:rsid w:val="0084725B"/>
    <w:rsid w:val="00850D22"/>
    <w:rsid w:val="0085139B"/>
    <w:rsid w:val="008514EE"/>
    <w:rsid w:val="00852D33"/>
    <w:rsid w:val="00853D99"/>
    <w:rsid w:val="00854587"/>
    <w:rsid w:val="00855213"/>
    <w:rsid w:val="00856682"/>
    <w:rsid w:val="00857A8E"/>
    <w:rsid w:val="0086004A"/>
    <w:rsid w:val="00861E76"/>
    <w:rsid w:val="0086332E"/>
    <w:rsid w:val="00863350"/>
    <w:rsid w:val="00864A13"/>
    <w:rsid w:val="008663DB"/>
    <w:rsid w:val="008732F8"/>
    <w:rsid w:val="00873CAD"/>
    <w:rsid w:val="008749A5"/>
    <w:rsid w:val="00877938"/>
    <w:rsid w:val="0088012E"/>
    <w:rsid w:val="00884D52"/>
    <w:rsid w:val="008878D4"/>
    <w:rsid w:val="00890FA4"/>
    <w:rsid w:val="00892402"/>
    <w:rsid w:val="008924EC"/>
    <w:rsid w:val="008954AE"/>
    <w:rsid w:val="00895B8B"/>
    <w:rsid w:val="00895D40"/>
    <w:rsid w:val="0089750F"/>
    <w:rsid w:val="008A0505"/>
    <w:rsid w:val="008B01D3"/>
    <w:rsid w:val="008B090C"/>
    <w:rsid w:val="008B2867"/>
    <w:rsid w:val="008B2BDA"/>
    <w:rsid w:val="008B3F5F"/>
    <w:rsid w:val="008B7444"/>
    <w:rsid w:val="008C1A83"/>
    <w:rsid w:val="008C20DD"/>
    <w:rsid w:val="008C21DA"/>
    <w:rsid w:val="008C458F"/>
    <w:rsid w:val="008C4A9C"/>
    <w:rsid w:val="008C53E4"/>
    <w:rsid w:val="008C5CF9"/>
    <w:rsid w:val="008D00D9"/>
    <w:rsid w:val="008D07D7"/>
    <w:rsid w:val="008D3D78"/>
    <w:rsid w:val="008D3F87"/>
    <w:rsid w:val="008D413C"/>
    <w:rsid w:val="008D71D3"/>
    <w:rsid w:val="008D72BF"/>
    <w:rsid w:val="008E0CB3"/>
    <w:rsid w:val="008E1585"/>
    <w:rsid w:val="008E23C0"/>
    <w:rsid w:val="008E3857"/>
    <w:rsid w:val="008E385C"/>
    <w:rsid w:val="008E454C"/>
    <w:rsid w:val="008E5520"/>
    <w:rsid w:val="008E59CE"/>
    <w:rsid w:val="008E65C4"/>
    <w:rsid w:val="008E67A8"/>
    <w:rsid w:val="008E6D43"/>
    <w:rsid w:val="008F1802"/>
    <w:rsid w:val="008F701A"/>
    <w:rsid w:val="0090247B"/>
    <w:rsid w:val="009040EC"/>
    <w:rsid w:val="00904ADA"/>
    <w:rsid w:val="00905996"/>
    <w:rsid w:val="00906E9D"/>
    <w:rsid w:val="00911215"/>
    <w:rsid w:val="00911C88"/>
    <w:rsid w:val="00911E5C"/>
    <w:rsid w:val="00913903"/>
    <w:rsid w:val="009144BD"/>
    <w:rsid w:val="00914599"/>
    <w:rsid w:val="00916252"/>
    <w:rsid w:val="009170A1"/>
    <w:rsid w:val="00920702"/>
    <w:rsid w:val="00921701"/>
    <w:rsid w:val="00921EA5"/>
    <w:rsid w:val="00922C54"/>
    <w:rsid w:val="009230FD"/>
    <w:rsid w:val="00923524"/>
    <w:rsid w:val="00923ED9"/>
    <w:rsid w:val="00927551"/>
    <w:rsid w:val="00927CE7"/>
    <w:rsid w:val="0093017D"/>
    <w:rsid w:val="00930448"/>
    <w:rsid w:val="009305BE"/>
    <w:rsid w:val="00930FBA"/>
    <w:rsid w:val="009335B4"/>
    <w:rsid w:val="009345FF"/>
    <w:rsid w:val="00937E85"/>
    <w:rsid w:val="009425D9"/>
    <w:rsid w:val="00942A28"/>
    <w:rsid w:val="009434E9"/>
    <w:rsid w:val="00944DC6"/>
    <w:rsid w:val="00946F74"/>
    <w:rsid w:val="00947724"/>
    <w:rsid w:val="00947D90"/>
    <w:rsid w:val="009513C2"/>
    <w:rsid w:val="00952378"/>
    <w:rsid w:val="009526B6"/>
    <w:rsid w:val="009528DF"/>
    <w:rsid w:val="0095306D"/>
    <w:rsid w:val="00954C17"/>
    <w:rsid w:val="0095515D"/>
    <w:rsid w:val="00955621"/>
    <w:rsid w:val="00960AAB"/>
    <w:rsid w:val="00962257"/>
    <w:rsid w:val="009627CB"/>
    <w:rsid w:val="00963B98"/>
    <w:rsid w:val="009651C7"/>
    <w:rsid w:val="009663CC"/>
    <w:rsid w:val="009666DE"/>
    <w:rsid w:val="0096728D"/>
    <w:rsid w:val="00971099"/>
    <w:rsid w:val="009712AF"/>
    <w:rsid w:val="00971C4B"/>
    <w:rsid w:val="00972BB3"/>
    <w:rsid w:val="00972DA3"/>
    <w:rsid w:val="00973823"/>
    <w:rsid w:val="0097510F"/>
    <w:rsid w:val="0097668C"/>
    <w:rsid w:val="00976705"/>
    <w:rsid w:val="00976F46"/>
    <w:rsid w:val="00977D4C"/>
    <w:rsid w:val="00980153"/>
    <w:rsid w:val="00986978"/>
    <w:rsid w:val="0098737E"/>
    <w:rsid w:val="00993244"/>
    <w:rsid w:val="0099676A"/>
    <w:rsid w:val="00997338"/>
    <w:rsid w:val="009A348A"/>
    <w:rsid w:val="009A3CF1"/>
    <w:rsid w:val="009A407F"/>
    <w:rsid w:val="009A69CF"/>
    <w:rsid w:val="009A77CF"/>
    <w:rsid w:val="009B040F"/>
    <w:rsid w:val="009B0B16"/>
    <w:rsid w:val="009B2ABE"/>
    <w:rsid w:val="009B2E74"/>
    <w:rsid w:val="009B2F5F"/>
    <w:rsid w:val="009B4681"/>
    <w:rsid w:val="009B5AB5"/>
    <w:rsid w:val="009B6A50"/>
    <w:rsid w:val="009B7D76"/>
    <w:rsid w:val="009C0092"/>
    <w:rsid w:val="009C0E07"/>
    <w:rsid w:val="009C1CEA"/>
    <w:rsid w:val="009C32F2"/>
    <w:rsid w:val="009C38E1"/>
    <w:rsid w:val="009C42E9"/>
    <w:rsid w:val="009C4C2F"/>
    <w:rsid w:val="009C4E5B"/>
    <w:rsid w:val="009C5F02"/>
    <w:rsid w:val="009C6D26"/>
    <w:rsid w:val="009C75F3"/>
    <w:rsid w:val="009D09FE"/>
    <w:rsid w:val="009D2FCC"/>
    <w:rsid w:val="009D4D54"/>
    <w:rsid w:val="009D6BFB"/>
    <w:rsid w:val="009D7708"/>
    <w:rsid w:val="009D7D46"/>
    <w:rsid w:val="009E237F"/>
    <w:rsid w:val="009E23A6"/>
    <w:rsid w:val="009E48E4"/>
    <w:rsid w:val="009E4BED"/>
    <w:rsid w:val="009E7489"/>
    <w:rsid w:val="009E75AB"/>
    <w:rsid w:val="009F0D7E"/>
    <w:rsid w:val="009F1A82"/>
    <w:rsid w:val="009F33D0"/>
    <w:rsid w:val="009F3BCD"/>
    <w:rsid w:val="009F5ECD"/>
    <w:rsid w:val="009F6C31"/>
    <w:rsid w:val="009F7873"/>
    <w:rsid w:val="009F7C83"/>
    <w:rsid w:val="00A00F7D"/>
    <w:rsid w:val="00A018B6"/>
    <w:rsid w:val="00A01D81"/>
    <w:rsid w:val="00A030B0"/>
    <w:rsid w:val="00A04F2A"/>
    <w:rsid w:val="00A054C8"/>
    <w:rsid w:val="00A0670F"/>
    <w:rsid w:val="00A101BA"/>
    <w:rsid w:val="00A1071B"/>
    <w:rsid w:val="00A1082F"/>
    <w:rsid w:val="00A139A1"/>
    <w:rsid w:val="00A1425D"/>
    <w:rsid w:val="00A14376"/>
    <w:rsid w:val="00A14CDF"/>
    <w:rsid w:val="00A165C7"/>
    <w:rsid w:val="00A16F75"/>
    <w:rsid w:val="00A175F8"/>
    <w:rsid w:val="00A17624"/>
    <w:rsid w:val="00A2138C"/>
    <w:rsid w:val="00A214A3"/>
    <w:rsid w:val="00A21562"/>
    <w:rsid w:val="00A21705"/>
    <w:rsid w:val="00A230D4"/>
    <w:rsid w:val="00A23523"/>
    <w:rsid w:val="00A25D5D"/>
    <w:rsid w:val="00A25E0C"/>
    <w:rsid w:val="00A260E3"/>
    <w:rsid w:val="00A27A7A"/>
    <w:rsid w:val="00A27B78"/>
    <w:rsid w:val="00A33CA3"/>
    <w:rsid w:val="00A340AC"/>
    <w:rsid w:val="00A37178"/>
    <w:rsid w:val="00A37A54"/>
    <w:rsid w:val="00A37BD3"/>
    <w:rsid w:val="00A40ABE"/>
    <w:rsid w:val="00A40C99"/>
    <w:rsid w:val="00A45B9A"/>
    <w:rsid w:val="00A50230"/>
    <w:rsid w:val="00A54318"/>
    <w:rsid w:val="00A55936"/>
    <w:rsid w:val="00A55AEB"/>
    <w:rsid w:val="00A566A5"/>
    <w:rsid w:val="00A56D87"/>
    <w:rsid w:val="00A57E1F"/>
    <w:rsid w:val="00A608C9"/>
    <w:rsid w:val="00A60A22"/>
    <w:rsid w:val="00A638CC"/>
    <w:rsid w:val="00A65720"/>
    <w:rsid w:val="00A65ED8"/>
    <w:rsid w:val="00A6713F"/>
    <w:rsid w:val="00A67576"/>
    <w:rsid w:val="00A7067E"/>
    <w:rsid w:val="00A71EAD"/>
    <w:rsid w:val="00A72309"/>
    <w:rsid w:val="00A7629B"/>
    <w:rsid w:val="00A768D1"/>
    <w:rsid w:val="00A77152"/>
    <w:rsid w:val="00A77229"/>
    <w:rsid w:val="00A823F0"/>
    <w:rsid w:val="00A83204"/>
    <w:rsid w:val="00A83F6D"/>
    <w:rsid w:val="00A85443"/>
    <w:rsid w:val="00A90D68"/>
    <w:rsid w:val="00A90D81"/>
    <w:rsid w:val="00A92280"/>
    <w:rsid w:val="00A92887"/>
    <w:rsid w:val="00A92CF4"/>
    <w:rsid w:val="00A93268"/>
    <w:rsid w:val="00A95109"/>
    <w:rsid w:val="00A9611B"/>
    <w:rsid w:val="00A97961"/>
    <w:rsid w:val="00AA25C5"/>
    <w:rsid w:val="00AA2735"/>
    <w:rsid w:val="00AA46FD"/>
    <w:rsid w:val="00AA51D7"/>
    <w:rsid w:val="00AA51EF"/>
    <w:rsid w:val="00AA6CAA"/>
    <w:rsid w:val="00AA788E"/>
    <w:rsid w:val="00AA7BB4"/>
    <w:rsid w:val="00AB131E"/>
    <w:rsid w:val="00AB1F2D"/>
    <w:rsid w:val="00AB50B5"/>
    <w:rsid w:val="00AB5D87"/>
    <w:rsid w:val="00AB7AD1"/>
    <w:rsid w:val="00AC06EA"/>
    <w:rsid w:val="00AC421B"/>
    <w:rsid w:val="00AC56D5"/>
    <w:rsid w:val="00AC67A3"/>
    <w:rsid w:val="00AC7655"/>
    <w:rsid w:val="00AD13BB"/>
    <w:rsid w:val="00AD148F"/>
    <w:rsid w:val="00AD2AB0"/>
    <w:rsid w:val="00AD3634"/>
    <w:rsid w:val="00AD3C13"/>
    <w:rsid w:val="00AD4606"/>
    <w:rsid w:val="00AD52E6"/>
    <w:rsid w:val="00AD5697"/>
    <w:rsid w:val="00AD5D63"/>
    <w:rsid w:val="00AD6A9D"/>
    <w:rsid w:val="00AD7EFE"/>
    <w:rsid w:val="00AE43CA"/>
    <w:rsid w:val="00AE4A7C"/>
    <w:rsid w:val="00AE60B7"/>
    <w:rsid w:val="00AE6173"/>
    <w:rsid w:val="00AE76CD"/>
    <w:rsid w:val="00AE7D59"/>
    <w:rsid w:val="00AE7E88"/>
    <w:rsid w:val="00AF0143"/>
    <w:rsid w:val="00AF05E5"/>
    <w:rsid w:val="00AF0D81"/>
    <w:rsid w:val="00AF12A2"/>
    <w:rsid w:val="00AF14E6"/>
    <w:rsid w:val="00AF266D"/>
    <w:rsid w:val="00AF32B7"/>
    <w:rsid w:val="00AF4A28"/>
    <w:rsid w:val="00AF516C"/>
    <w:rsid w:val="00AF61B4"/>
    <w:rsid w:val="00AF798C"/>
    <w:rsid w:val="00B009CE"/>
    <w:rsid w:val="00B01A51"/>
    <w:rsid w:val="00B02BE7"/>
    <w:rsid w:val="00B034EF"/>
    <w:rsid w:val="00B0445A"/>
    <w:rsid w:val="00B0523C"/>
    <w:rsid w:val="00B05ED7"/>
    <w:rsid w:val="00B061A9"/>
    <w:rsid w:val="00B06B27"/>
    <w:rsid w:val="00B06CFD"/>
    <w:rsid w:val="00B078A7"/>
    <w:rsid w:val="00B12691"/>
    <w:rsid w:val="00B1281D"/>
    <w:rsid w:val="00B1467A"/>
    <w:rsid w:val="00B15809"/>
    <w:rsid w:val="00B174A4"/>
    <w:rsid w:val="00B21C3A"/>
    <w:rsid w:val="00B222A3"/>
    <w:rsid w:val="00B22C41"/>
    <w:rsid w:val="00B23A62"/>
    <w:rsid w:val="00B249FC"/>
    <w:rsid w:val="00B2507A"/>
    <w:rsid w:val="00B25702"/>
    <w:rsid w:val="00B25AA6"/>
    <w:rsid w:val="00B278A9"/>
    <w:rsid w:val="00B310A1"/>
    <w:rsid w:val="00B335BC"/>
    <w:rsid w:val="00B33C7E"/>
    <w:rsid w:val="00B3419A"/>
    <w:rsid w:val="00B34CF4"/>
    <w:rsid w:val="00B361B5"/>
    <w:rsid w:val="00B40B61"/>
    <w:rsid w:val="00B4197F"/>
    <w:rsid w:val="00B42571"/>
    <w:rsid w:val="00B42617"/>
    <w:rsid w:val="00B43E53"/>
    <w:rsid w:val="00B45D94"/>
    <w:rsid w:val="00B46E5C"/>
    <w:rsid w:val="00B474E7"/>
    <w:rsid w:val="00B513EE"/>
    <w:rsid w:val="00B51919"/>
    <w:rsid w:val="00B52BC1"/>
    <w:rsid w:val="00B54168"/>
    <w:rsid w:val="00B5438C"/>
    <w:rsid w:val="00B543EA"/>
    <w:rsid w:val="00B55274"/>
    <w:rsid w:val="00B603D1"/>
    <w:rsid w:val="00B604E0"/>
    <w:rsid w:val="00B614A4"/>
    <w:rsid w:val="00B62064"/>
    <w:rsid w:val="00B6412E"/>
    <w:rsid w:val="00B7226D"/>
    <w:rsid w:val="00B75B12"/>
    <w:rsid w:val="00B77DE5"/>
    <w:rsid w:val="00B81E88"/>
    <w:rsid w:val="00B8493F"/>
    <w:rsid w:val="00B8572D"/>
    <w:rsid w:val="00B85EB9"/>
    <w:rsid w:val="00B861D5"/>
    <w:rsid w:val="00B867CE"/>
    <w:rsid w:val="00B904F3"/>
    <w:rsid w:val="00B90517"/>
    <w:rsid w:val="00B9067C"/>
    <w:rsid w:val="00B91C3C"/>
    <w:rsid w:val="00B9391F"/>
    <w:rsid w:val="00B93927"/>
    <w:rsid w:val="00B93B79"/>
    <w:rsid w:val="00B95706"/>
    <w:rsid w:val="00BA07DF"/>
    <w:rsid w:val="00BA133D"/>
    <w:rsid w:val="00BA1A5C"/>
    <w:rsid w:val="00BA28BD"/>
    <w:rsid w:val="00BA2AF9"/>
    <w:rsid w:val="00BA2F4E"/>
    <w:rsid w:val="00BA3399"/>
    <w:rsid w:val="00BA56DD"/>
    <w:rsid w:val="00BA58D2"/>
    <w:rsid w:val="00BA68C5"/>
    <w:rsid w:val="00BB1601"/>
    <w:rsid w:val="00BB3B90"/>
    <w:rsid w:val="00BB3E31"/>
    <w:rsid w:val="00BB41EC"/>
    <w:rsid w:val="00BB5196"/>
    <w:rsid w:val="00BB5D84"/>
    <w:rsid w:val="00BB68BD"/>
    <w:rsid w:val="00BB7A6C"/>
    <w:rsid w:val="00BC00A8"/>
    <w:rsid w:val="00BC249D"/>
    <w:rsid w:val="00BC3E9B"/>
    <w:rsid w:val="00BC4138"/>
    <w:rsid w:val="00BC6CEC"/>
    <w:rsid w:val="00BC7BBB"/>
    <w:rsid w:val="00BC7ECE"/>
    <w:rsid w:val="00BD0415"/>
    <w:rsid w:val="00BD07F2"/>
    <w:rsid w:val="00BD16D9"/>
    <w:rsid w:val="00BD2F25"/>
    <w:rsid w:val="00BD4DBB"/>
    <w:rsid w:val="00BD5821"/>
    <w:rsid w:val="00BE01D2"/>
    <w:rsid w:val="00BE04D4"/>
    <w:rsid w:val="00BE1B63"/>
    <w:rsid w:val="00BE1FD7"/>
    <w:rsid w:val="00BE7F9D"/>
    <w:rsid w:val="00BF1219"/>
    <w:rsid w:val="00BF21ED"/>
    <w:rsid w:val="00BF332E"/>
    <w:rsid w:val="00BF46F3"/>
    <w:rsid w:val="00BF5397"/>
    <w:rsid w:val="00C00849"/>
    <w:rsid w:val="00C00D93"/>
    <w:rsid w:val="00C00DD6"/>
    <w:rsid w:val="00C0166E"/>
    <w:rsid w:val="00C025F6"/>
    <w:rsid w:val="00C032DC"/>
    <w:rsid w:val="00C033E7"/>
    <w:rsid w:val="00C03989"/>
    <w:rsid w:val="00C0409B"/>
    <w:rsid w:val="00C040B4"/>
    <w:rsid w:val="00C041B6"/>
    <w:rsid w:val="00C047DA"/>
    <w:rsid w:val="00C05BAD"/>
    <w:rsid w:val="00C0617C"/>
    <w:rsid w:val="00C06BAE"/>
    <w:rsid w:val="00C07340"/>
    <w:rsid w:val="00C10404"/>
    <w:rsid w:val="00C10EFC"/>
    <w:rsid w:val="00C10F2F"/>
    <w:rsid w:val="00C12A4F"/>
    <w:rsid w:val="00C16119"/>
    <w:rsid w:val="00C235D2"/>
    <w:rsid w:val="00C25080"/>
    <w:rsid w:val="00C25DB6"/>
    <w:rsid w:val="00C26EA0"/>
    <w:rsid w:val="00C3252E"/>
    <w:rsid w:val="00C33820"/>
    <w:rsid w:val="00C349CF"/>
    <w:rsid w:val="00C34F95"/>
    <w:rsid w:val="00C36664"/>
    <w:rsid w:val="00C36769"/>
    <w:rsid w:val="00C37798"/>
    <w:rsid w:val="00C42D82"/>
    <w:rsid w:val="00C4334A"/>
    <w:rsid w:val="00C434BD"/>
    <w:rsid w:val="00C4471A"/>
    <w:rsid w:val="00C46CFC"/>
    <w:rsid w:val="00C50117"/>
    <w:rsid w:val="00C5031E"/>
    <w:rsid w:val="00C5079A"/>
    <w:rsid w:val="00C5200F"/>
    <w:rsid w:val="00C527FC"/>
    <w:rsid w:val="00C52EA7"/>
    <w:rsid w:val="00C54071"/>
    <w:rsid w:val="00C56D2C"/>
    <w:rsid w:val="00C579BF"/>
    <w:rsid w:val="00C601E0"/>
    <w:rsid w:val="00C605CC"/>
    <w:rsid w:val="00C60D79"/>
    <w:rsid w:val="00C61F38"/>
    <w:rsid w:val="00C6252B"/>
    <w:rsid w:val="00C62BAB"/>
    <w:rsid w:val="00C643A9"/>
    <w:rsid w:val="00C64DA4"/>
    <w:rsid w:val="00C652EE"/>
    <w:rsid w:val="00C67852"/>
    <w:rsid w:val="00C7026F"/>
    <w:rsid w:val="00C717DA"/>
    <w:rsid w:val="00C727F0"/>
    <w:rsid w:val="00C73880"/>
    <w:rsid w:val="00C75ABE"/>
    <w:rsid w:val="00C80F6E"/>
    <w:rsid w:val="00C837DD"/>
    <w:rsid w:val="00C847F9"/>
    <w:rsid w:val="00C84D03"/>
    <w:rsid w:val="00C85C57"/>
    <w:rsid w:val="00C86325"/>
    <w:rsid w:val="00C95A7A"/>
    <w:rsid w:val="00C96C2F"/>
    <w:rsid w:val="00C96FA7"/>
    <w:rsid w:val="00C971C4"/>
    <w:rsid w:val="00CA021F"/>
    <w:rsid w:val="00CA168B"/>
    <w:rsid w:val="00CA3371"/>
    <w:rsid w:val="00CA448A"/>
    <w:rsid w:val="00CA56AB"/>
    <w:rsid w:val="00CA6D67"/>
    <w:rsid w:val="00CB061D"/>
    <w:rsid w:val="00CB0628"/>
    <w:rsid w:val="00CB30DA"/>
    <w:rsid w:val="00CB543A"/>
    <w:rsid w:val="00CB5EAA"/>
    <w:rsid w:val="00CB5F44"/>
    <w:rsid w:val="00CB5FC3"/>
    <w:rsid w:val="00CB6922"/>
    <w:rsid w:val="00CB6CE0"/>
    <w:rsid w:val="00CB7154"/>
    <w:rsid w:val="00CC0605"/>
    <w:rsid w:val="00CC088A"/>
    <w:rsid w:val="00CC0EEB"/>
    <w:rsid w:val="00CC1721"/>
    <w:rsid w:val="00CC30C1"/>
    <w:rsid w:val="00CC44B5"/>
    <w:rsid w:val="00CC4821"/>
    <w:rsid w:val="00CC6973"/>
    <w:rsid w:val="00CD02F9"/>
    <w:rsid w:val="00CD103F"/>
    <w:rsid w:val="00CD2037"/>
    <w:rsid w:val="00CD290B"/>
    <w:rsid w:val="00CD3424"/>
    <w:rsid w:val="00CD56FC"/>
    <w:rsid w:val="00CE0C83"/>
    <w:rsid w:val="00CE38B7"/>
    <w:rsid w:val="00CE5404"/>
    <w:rsid w:val="00CE5B1B"/>
    <w:rsid w:val="00CF019F"/>
    <w:rsid w:val="00CF1C32"/>
    <w:rsid w:val="00CF2DE7"/>
    <w:rsid w:val="00CF377B"/>
    <w:rsid w:val="00CF7106"/>
    <w:rsid w:val="00D004FD"/>
    <w:rsid w:val="00D008B6"/>
    <w:rsid w:val="00D00F97"/>
    <w:rsid w:val="00D03F71"/>
    <w:rsid w:val="00D0453A"/>
    <w:rsid w:val="00D04A0E"/>
    <w:rsid w:val="00D05206"/>
    <w:rsid w:val="00D05C7F"/>
    <w:rsid w:val="00D0650B"/>
    <w:rsid w:val="00D067AE"/>
    <w:rsid w:val="00D06D0A"/>
    <w:rsid w:val="00D0748F"/>
    <w:rsid w:val="00D10385"/>
    <w:rsid w:val="00D11716"/>
    <w:rsid w:val="00D11E3B"/>
    <w:rsid w:val="00D127D1"/>
    <w:rsid w:val="00D141F3"/>
    <w:rsid w:val="00D1435E"/>
    <w:rsid w:val="00D14784"/>
    <w:rsid w:val="00D14B3D"/>
    <w:rsid w:val="00D16C4E"/>
    <w:rsid w:val="00D17D88"/>
    <w:rsid w:val="00D201E5"/>
    <w:rsid w:val="00D20401"/>
    <w:rsid w:val="00D204F4"/>
    <w:rsid w:val="00D207FF"/>
    <w:rsid w:val="00D21673"/>
    <w:rsid w:val="00D23A9B"/>
    <w:rsid w:val="00D242EA"/>
    <w:rsid w:val="00D2454E"/>
    <w:rsid w:val="00D25289"/>
    <w:rsid w:val="00D26D47"/>
    <w:rsid w:val="00D2770A"/>
    <w:rsid w:val="00D27D9B"/>
    <w:rsid w:val="00D3094F"/>
    <w:rsid w:val="00D32965"/>
    <w:rsid w:val="00D32EBC"/>
    <w:rsid w:val="00D34C31"/>
    <w:rsid w:val="00D34E30"/>
    <w:rsid w:val="00D40206"/>
    <w:rsid w:val="00D4045C"/>
    <w:rsid w:val="00D406C6"/>
    <w:rsid w:val="00D40739"/>
    <w:rsid w:val="00D4334E"/>
    <w:rsid w:val="00D45142"/>
    <w:rsid w:val="00D4516B"/>
    <w:rsid w:val="00D45872"/>
    <w:rsid w:val="00D47631"/>
    <w:rsid w:val="00D47671"/>
    <w:rsid w:val="00D50417"/>
    <w:rsid w:val="00D53221"/>
    <w:rsid w:val="00D578AB"/>
    <w:rsid w:val="00D6023C"/>
    <w:rsid w:val="00D60823"/>
    <w:rsid w:val="00D617D3"/>
    <w:rsid w:val="00D65030"/>
    <w:rsid w:val="00D65198"/>
    <w:rsid w:val="00D6687D"/>
    <w:rsid w:val="00D678A7"/>
    <w:rsid w:val="00D711CF"/>
    <w:rsid w:val="00D72196"/>
    <w:rsid w:val="00D723D7"/>
    <w:rsid w:val="00D726FE"/>
    <w:rsid w:val="00D73F19"/>
    <w:rsid w:val="00D76644"/>
    <w:rsid w:val="00D806BE"/>
    <w:rsid w:val="00D80C38"/>
    <w:rsid w:val="00D82664"/>
    <w:rsid w:val="00D839AB"/>
    <w:rsid w:val="00D85BC9"/>
    <w:rsid w:val="00D86857"/>
    <w:rsid w:val="00D902B3"/>
    <w:rsid w:val="00D91D0C"/>
    <w:rsid w:val="00D924A5"/>
    <w:rsid w:val="00D940C6"/>
    <w:rsid w:val="00D94D3B"/>
    <w:rsid w:val="00D94F77"/>
    <w:rsid w:val="00D961CD"/>
    <w:rsid w:val="00D96482"/>
    <w:rsid w:val="00DA1F2A"/>
    <w:rsid w:val="00DA3378"/>
    <w:rsid w:val="00DA5076"/>
    <w:rsid w:val="00DA7797"/>
    <w:rsid w:val="00DA7D5A"/>
    <w:rsid w:val="00DB03A4"/>
    <w:rsid w:val="00DB0EC3"/>
    <w:rsid w:val="00DB2052"/>
    <w:rsid w:val="00DB44DC"/>
    <w:rsid w:val="00DB59A4"/>
    <w:rsid w:val="00DC0433"/>
    <w:rsid w:val="00DC11A3"/>
    <w:rsid w:val="00DC148D"/>
    <w:rsid w:val="00DC265E"/>
    <w:rsid w:val="00DC29DF"/>
    <w:rsid w:val="00DC4076"/>
    <w:rsid w:val="00DC47FD"/>
    <w:rsid w:val="00DC5DAF"/>
    <w:rsid w:val="00DC68A5"/>
    <w:rsid w:val="00DD1B6D"/>
    <w:rsid w:val="00DD1F23"/>
    <w:rsid w:val="00DD3060"/>
    <w:rsid w:val="00DD4E8B"/>
    <w:rsid w:val="00DD60FC"/>
    <w:rsid w:val="00DD7A79"/>
    <w:rsid w:val="00DE0F93"/>
    <w:rsid w:val="00DE2D05"/>
    <w:rsid w:val="00DE343A"/>
    <w:rsid w:val="00DE41D9"/>
    <w:rsid w:val="00DE57C0"/>
    <w:rsid w:val="00DE6F3B"/>
    <w:rsid w:val="00DE7B59"/>
    <w:rsid w:val="00DF1779"/>
    <w:rsid w:val="00DF1A11"/>
    <w:rsid w:val="00DF5297"/>
    <w:rsid w:val="00DF6DB3"/>
    <w:rsid w:val="00E00492"/>
    <w:rsid w:val="00E054B2"/>
    <w:rsid w:val="00E069A3"/>
    <w:rsid w:val="00E06B12"/>
    <w:rsid w:val="00E07F96"/>
    <w:rsid w:val="00E109F6"/>
    <w:rsid w:val="00E10F2B"/>
    <w:rsid w:val="00E11B7A"/>
    <w:rsid w:val="00E12F66"/>
    <w:rsid w:val="00E1435E"/>
    <w:rsid w:val="00E17E02"/>
    <w:rsid w:val="00E207FB"/>
    <w:rsid w:val="00E2175F"/>
    <w:rsid w:val="00E23664"/>
    <w:rsid w:val="00E23947"/>
    <w:rsid w:val="00E246F0"/>
    <w:rsid w:val="00E24DF2"/>
    <w:rsid w:val="00E2607E"/>
    <w:rsid w:val="00E27FD8"/>
    <w:rsid w:val="00E30129"/>
    <w:rsid w:val="00E3057A"/>
    <w:rsid w:val="00E31A60"/>
    <w:rsid w:val="00E32B8A"/>
    <w:rsid w:val="00E342A7"/>
    <w:rsid w:val="00E34AC6"/>
    <w:rsid w:val="00E34CB4"/>
    <w:rsid w:val="00E45DDB"/>
    <w:rsid w:val="00E505EC"/>
    <w:rsid w:val="00E51D55"/>
    <w:rsid w:val="00E51F85"/>
    <w:rsid w:val="00E5456B"/>
    <w:rsid w:val="00E55039"/>
    <w:rsid w:val="00E567F5"/>
    <w:rsid w:val="00E56AD0"/>
    <w:rsid w:val="00E611BE"/>
    <w:rsid w:val="00E62426"/>
    <w:rsid w:val="00E64701"/>
    <w:rsid w:val="00E66830"/>
    <w:rsid w:val="00E66BAA"/>
    <w:rsid w:val="00E67030"/>
    <w:rsid w:val="00E67AC0"/>
    <w:rsid w:val="00E70B55"/>
    <w:rsid w:val="00E7163E"/>
    <w:rsid w:val="00E728DA"/>
    <w:rsid w:val="00E736FC"/>
    <w:rsid w:val="00E83C8C"/>
    <w:rsid w:val="00E85743"/>
    <w:rsid w:val="00E8580B"/>
    <w:rsid w:val="00E85B5D"/>
    <w:rsid w:val="00E85EE1"/>
    <w:rsid w:val="00E86313"/>
    <w:rsid w:val="00E876C9"/>
    <w:rsid w:val="00E87CCB"/>
    <w:rsid w:val="00E91F33"/>
    <w:rsid w:val="00E93523"/>
    <w:rsid w:val="00E94A22"/>
    <w:rsid w:val="00E966FB"/>
    <w:rsid w:val="00EA0515"/>
    <w:rsid w:val="00EA09A8"/>
    <w:rsid w:val="00EA2D56"/>
    <w:rsid w:val="00EA3953"/>
    <w:rsid w:val="00EA4488"/>
    <w:rsid w:val="00EA65A4"/>
    <w:rsid w:val="00EB0947"/>
    <w:rsid w:val="00EB21AC"/>
    <w:rsid w:val="00EB33A8"/>
    <w:rsid w:val="00EB3559"/>
    <w:rsid w:val="00EB5B01"/>
    <w:rsid w:val="00EB6E7F"/>
    <w:rsid w:val="00EB77E5"/>
    <w:rsid w:val="00EC0A85"/>
    <w:rsid w:val="00EC1C54"/>
    <w:rsid w:val="00EC5BB4"/>
    <w:rsid w:val="00EC61A6"/>
    <w:rsid w:val="00EC731C"/>
    <w:rsid w:val="00ED0666"/>
    <w:rsid w:val="00ED183F"/>
    <w:rsid w:val="00ED211A"/>
    <w:rsid w:val="00ED4E6F"/>
    <w:rsid w:val="00ED5E1F"/>
    <w:rsid w:val="00ED71B1"/>
    <w:rsid w:val="00EE012E"/>
    <w:rsid w:val="00EE358E"/>
    <w:rsid w:val="00EE3808"/>
    <w:rsid w:val="00EE51E4"/>
    <w:rsid w:val="00EE5C97"/>
    <w:rsid w:val="00EE6AFA"/>
    <w:rsid w:val="00EF08AA"/>
    <w:rsid w:val="00EF096C"/>
    <w:rsid w:val="00EF18B6"/>
    <w:rsid w:val="00EF23B1"/>
    <w:rsid w:val="00EF3070"/>
    <w:rsid w:val="00EF3E85"/>
    <w:rsid w:val="00EF63CC"/>
    <w:rsid w:val="00EF7768"/>
    <w:rsid w:val="00EF78B2"/>
    <w:rsid w:val="00EF7B0E"/>
    <w:rsid w:val="00F01500"/>
    <w:rsid w:val="00F01BBC"/>
    <w:rsid w:val="00F02537"/>
    <w:rsid w:val="00F030BE"/>
    <w:rsid w:val="00F06963"/>
    <w:rsid w:val="00F069B8"/>
    <w:rsid w:val="00F06D67"/>
    <w:rsid w:val="00F1004F"/>
    <w:rsid w:val="00F11C4C"/>
    <w:rsid w:val="00F1365B"/>
    <w:rsid w:val="00F154C8"/>
    <w:rsid w:val="00F15AD4"/>
    <w:rsid w:val="00F16FA6"/>
    <w:rsid w:val="00F17BC9"/>
    <w:rsid w:val="00F21370"/>
    <w:rsid w:val="00F214D1"/>
    <w:rsid w:val="00F21B25"/>
    <w:rsid w:val="00F269CC"/>
    <w:rsid w:val="00F3032E"/>
    <w:rsid w:val="00F34B60"/>
    <w:rsid w:val="00F358B8"/>
    <w:rsid w:val="00F35CB8"/>
    <w:rsid w:val="00F36068"/>
    <w:rsid w:val="00F37B20"/>
    <w:rsid w:val="00F37C7D"/>
    <w:rsid w:val="00F40638"/>
    <w:rsid w:val="00F40EA7"/>
    <w:rsid w:val="00F43A4C"/>
    <w:rsid w:val="00F43BBB"/>
    <w:rsid w:val="00F446F2"/>
    <w:rsid w:val="00F4499E"/>
    <w:rsid w:val="00F451DE"/>
    <w:rsid w:val="00F505CB"/>
    <w:rsid w:val="00F51BCE"/>
    <w:rsid w:val="00F522DF"/>
    <w:rsid w:val="00F52524"/>
    <w:rsid w:val="00F548F3"/>
    <w:rsid w:val="00F549FB"/>
    <w:rsid w:val="00F56668"/>
    <w:rsid w:val="00F615DC"/>
    <w:rsid w:val="00F61841"/>
    <w:rsid w:val="00F62121"/>
    <w:rsid w:val="00F62939"/>
    <w:rsid w:val="00F64A7A"/>
    <w:rsid w:val="00F64BAF"/>
    <w:rsid w:val="00F65EBF"/>
    <w:rsid w:val="00F66F9D"/>
    <w:rsid w:val="00F67856"/>
    <w:rsid w:val="00F70A18"/>
    <w:rsid w:val="00F70BAF"/>
    <w:rsid w:val="00F7551F"/>
    <w:rsid w:val="00F7673D"/>
    <w:rsid w:val="00F80350"/>
    <w:rsid w:val="00F807F7"/>
    <w:rsid w:val="00F827D4"/>
    <w:rsid w:val="00F83917"/>
    <w:rsid w:val="00F84775"/>
    <w:rsid w:val="00F85982"/>
    <w:rsid w:val="00F86A2C"/>
    <w:rsid w:val="00F86C94"/>
    <w:rsid w:val="00F86D57"/>
    <w:rsid w:val="00F9028A"/>
    <w:rsid w:val="00F91CBD"/>
    <w:rsid w:val="00F91FA4"/>
    <w:rsid w:val="00F9359B"/>
    <w:rsid w:val="00F94B36"/>
    <w:rsid w:val="00F956A9"/>
    <w:rsid w:val="00F97E52"/>
    <w:rsid w:val="00FA0039"/>
    <w:rsid w:val="00FA2912"/>
    <w:rsid w:val="00FA6A8E"/>
    <w:rsid w:val="00FB2F2F"/>
    <w:rsid w:val="00FB32DB"/>
    <w:rsid w:val="00FB4B50"/>
    <w:rsid w:val="00FB55E7"/>
    <w:rsid w:val="00FB6790"/>
    <w:rsid w:val="00FC066C"/>
    <w:rsid w:val="00FC1339"/>
    <w:rsid w:val="00FC1DDA"/>
    <w:rsid w:val="00FC25FA"/>
    <w:rsid w:val="00FC2812"/>
    <w:rsid w:val="00FC4AC7"/>
    <w:rsid w:val="00FC5D69"/>
    <w:rsid w:val="00FC6DD3"/>
    <w:rsid w:val="00FD01B5"/>
    <w:rsid w:val="00FD02CB"/>
    <w:rsid w:val="00FD037D"/>
    <w:rsid w:val="00FD0E19"/>
    <w:rsid w:val="00FD2450"/>
    <w:rsid w:val="00FD3273"/>
    <w:rsid w:val="00FD4BB8"/>
    <w:rsid w:val="00FD59B2"/>
    <w:rsid w:val="00FD6B02"/>
    <w:rsid w:val="00FD7C0B"/>
    <w:rsid w:val="00FE0EFA"/>
    <w:rsid w:val="00FE1A79"/>
    <w:rsid w:val="00FE3B2B"/>
    <w:rsid w:val="00FE59C1"/>
    <w:rsid w:val="00FE661B"/>
    <w:rsid w:val="00FE76C0"/>
    <w:rsid w:val="00FF0B73"/>
    <w:rsid w:val="00FF1E35"/>
    <w:rsid w:val="00FF28CD"/>
    <w:rsid w:val="00FF4A94"/>
    <w:rsid w:val="00FF532E"/>
    <w:rsid w:val="00FF75EB"/>
    <w:rsid w:val="00FF7B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956A9"/>
    <w:pPr>
      <w:spacing w:after="200" w:line="276" w:lineRule="auto"/>
    </w:pPr>
    <w:rPr>
      <w:rFonts w:ascii="Arial" w:hAnsi="Arial" w:cs="Arial"/>
      <w:lang w:val="en-AU"/>
    </w:rPr>
  </w:style>
  <w:style w:type="paragraph" w:styleId="Heading1">
    <w:name w:val="heading 1"/>
    <w:basedOn w:val="Normal"/>
    <w:next w:val="Normal"/>
    <w:link w:val="Heading1Char"/>
    <w:uiPriority w:val="99"/>
    <w:qFormat/>
    <w:rsid w:val="00F956A9"/>
    <w:pPr>
      <w:keepNext/>
      <w:keepLines/>
      <w:numPr>
        <w:numId w:val="7"/>
      </w:numPr>
      <w:spacing w:before="480" w:after="240"/>
      <w:outlineLvl w:val="0"/>
    </w:pPr>
    <w:rPr>
      <w:rFonts w:eastAsia="Times New Roman"/>
      <w:b/>
      <w:bCs/>
      <w:caps/>
      <w:color w:val="4F81BD"/>
      <w:sz w:val="28"/>
      <w:szCs w:val="28"/>
    </w:rPr>
  </w:style>
  <w:style w:type="paragraph" w:styleId="Heading2">
    <w:name w:val="heading 2"/>
    <w:basedOn w:val="Normal"/>
    <w:next w:val="Normal"/>
    <w:link w:val="Heading2Char"/>
    <w:uiPriority w:val="99"/>
    <w:qFormat/>
    <w:rsid w:val="004D7587"/>
    <w:pPr>
      <w:keepNext/>
      <w:keepLines/>
      <w:numPr>
        <w:ilvl w:val="1"/>
        <w:numId w:val="7"/>
      </w:numPr>
      <w:spacing w:before="200" w:after="240"/>
      <w:outlineLvl w:val="1"/>
    </w:pPr>
    <w:rPr>
      <w:rFonts w:eastAsia="Times New Roman"/>
      <w:b/>
      <w:bCs/>
      <w:color w:val="8DB3E2"/>
      <w:sz w:val="26"/>
      <w:szCs w:val="26"/>
    </w:rPr>
  </w:style>
  <w:style w:type="paragraph" w:styleId="Heading3">
    <w:name w:val="heading 3"/>
    <w:basedOn w:val="Normal"/>
    <w:next w:val="Normal"/>
    <w:link w:val="Heading3Char"/>
    <w:uiPriority w:val="99"/>
    <w:qFormat/>
    <w:rsid w:val="00F9028A"/>
    <w:pPr>
      <w:keepNext/>
      <w:keepLines/>
      <w:numPr>
        <w:ilvl w:val="2"/>
        <w:numId w:val="7"/>
      </w:numPr>
      <w:spacing w:before="200" w:after="0"/>
      <w:outlineLvl w:val="2"/>
    </w:pPr>
    <w:rPr>
      <w:rFonts w:eastAsia="Times New Roman"/>
      <w:b/>
      <w:bCs/>
    </w:rPr>
  </w:style>
  <w:style w:type="paragraph" w:styleId="Heading4">
    <w:name w:val="heading 4"/>
    <w:basedOn w:val="Normal"/>
    <w:next w:val="Normal"/>
    <w:link w:val="Heading4Char"/>
    <w:uiPriority w:val="99"/>
    <w:qFormat/>
    <w:rsid w:val="004264CA"/>
    <w:pPr>
      <w:keepNext/>
      <w:keepLines/>
      <w:numPr>
        <w:ilvl w:val="3"/>
        <w:numId w:val="7"/>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4264CA"/>
    <w:pPr>
      <w:keepNext/>
      <w:keepLines/>
      <w:numPr>
        <w:ilvl w:val="4"/>
        <w:numId w:val="7"/>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4264CA"/>
    <w:pPr>
      <w:keepNext/>
      <w:keepLines/>
      <w:numPr>
        <w:ilvl w:val="5"/>
        <w:numId w:val="7"/>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4264CA"/>
    <w:pPr>
      <w:keepNext/>
      <w:keepLines/>
      <w:numPr>
        <w:ilvl w:val="6"/>
        <w:numId w:val="7"/>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4264CA"/>
    <w:pPr>
      <w:keepNext/>
      <w:keepLines/>
      <w:numPr>
        <w:ilvl w:val="7"/>
        <w:numId w:val="7"/>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4264CA"/>
    <w:pPr>
      <w:keepNext/>
      <w:keepLines/>
      <w:numPr>
        <w:ilvl w:val="8"/>
        <w:numId w:val="7"/>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56A9"/>
    <w:rPr>
      <w:rFonts w:ascii="Arial" w:eastAsia="Times New Roman" w:hAnsi="Arial" w:cs="Arial"/>
      <w:b/>
      <w:bCs/>
      <w:caps/>
      <w:color w:val="4F81BD"/>
      <w:sz w:val="28"/>
      <w:szCs w:val="28"/>
      <w:lang w:val="en-AU"/>
    </w:rPr>
  </w:style>
  <w:style w:type="character" w:customStyle="1" w:styleId="Heading2Char">
    <w:name w:val="Heading 2 Char"/>
    <w:basedOn w:val="DefaultParagraphFont"/>
    <w:link w:val="Heading2"/>
    <w:uiPriority w:val="99"/>
    <w:locked/>
    <w:rsid w:val="004D7587"/>
    <w:rPr>
      <w:rFonts w:ascii="Arial" w:eastAsia="Times New Roman" w:hAnsi="Arial" w:cs="Arial"/>
      <w:b/>
      <w:bCs/>
      <w:color w:val="8DB3E2"/>
      <w:sz w:val="26"/>
      <w:szCs w:val="26"/>
      <w:lang w:val="en-AU"/>
    </w:rPr>
  </w:style>
  <w:style w:type="character" w:customStyle="1" w:styleId="Heading3Char">
    <w:name w:val="Heading 3 Char"/>
    <w:basedOn w:val="DefaultParagraphFont"/>
    <w:link w:val="Heading3"/>
    <w:uiPriority w:val="99"/>
    <w:locked/>
    <w:rsid w:val="00F9028A"/>
    <w:rPr>
      <w:rFonts w:ascii="Arial" w:eastAsia="Times New Roman" w:hAnsi="Arial" w:cs="Arial"/>
      <w:b/>
      <w:bCs/>
      <w:lang w:val="en-AU"/>
    </w:rPr>
  </w:style>
  <w:style w:type="character" w:customStyle="1" w:styleId="Heading4Char">
    <w:name w:val="Heading 4 Char"/>
    <w:basedOn w:val="DefaultParagraphFont"/>
    <w:link w:val="Heading4"/>
    <w:uiPriority w:val="99"/>
    <w:locked/>
    <w:rsid w:val="004264CA"/>
    <w:rPr>
      <w:rFonts w:ascii="Cambria" w:eastAsia="Times New Roman" w:hAnsi="Cambria" w:cs="Cambria"/>
      <w:b/>
      <w:bCs/>
      <w:i/>
      <w:iCs/>
      <w:color w:val="4F81BD"/>
      <w:lang w:val="en-AU"/>
    </w:rPr>
  </w:style>
  <w:style w:type="character" w:customStyle="1" w:styleId="Heading5Char">
    <w:name w:val="Heading 5 Char"/>
    <w:basedOn w:val="DefaultParagraphFont"/>
    <w:link w:val="Heading5"/>
    <w:uiPriority w:val="99"/>
    <w:locked/>
    <w:rsid w:val="004264CA"/>
    <w:rPr>
      <w:rFonts w:ascii="Cambria" w:eastAsia="Times New Roman" w:hAnsi="Cambria" w:cs="Cambria"/>
      <w:color w:val="243F60"/>
      <w:lang w:val="en-AU"/>
    </w:rPr>
  </w:style>
  <w:style w:type="character" w:customStyle="1" w:styleId="Heading6Char">
    <w:name w:val="Heading 6 Char"/>
    <w:basedOn w:val="DefaultParagraphFont"/>
    <w:link w:val="Heading6"/>
    <w:uiPriority w:val="99"/>
    <w:locked/>
    <w:rsid w:val="004264CA"/>
    <w:rPr>
      <w:rFonts w:ascii="Cambria" w:eastAsia="Times New Roman" w:hAnsi="Cambria" w:cs="Cambria"/>
      <w:i/>
      <w:iCs/>
      <w:color w:val="243F60"/>
      <w:lang w:val="en-AU"/>
    </w:rPr>
  </w:style>
  <w:style w:type="character" w:customStyle="1" w:styleId="Heading7Char">
    <w:name w:val="Heading 7 Char"/>
    <w:basedOn w:val="DefaultParagraphFont"/>
    <w:link w:val="Heading7"/>
    <w:uiPriority w:val="99"/>
    <w:locked/>
    <w:rsid w:val="004264CA"/>
    <w:rPr>
      <w:rFonts w:ascii="Cambria" w:eastAsia="Times New Roman" w:hAnsi="Cambria" w:cs="Cambria"/>
      <w:i/>
      <w:iCs/>
      <w:color w:val="404040"/>
      <w:lang w:val="en-AU"/>
    </w:rPr>
  </w:style>
  <w:style w:type="character" w:customStyle="1" w:styleId="Heading8Char">
    <w:name w:val="Heading 8 Char"/>
    <w:basedOn w:val="DefaultParagraphFont"/>
    <w:link w:val="Heading8"/>
    <w:uiPriority w:val="99"/>
    <w:locked/>
    <w:rsid w:val="004264CA"/>
    <w:rPr>
      <w:rFonts w:ascii="Cambria" w:eastAsia="Times New Roman" w:hAnsi="Cambria" w:cs="Cambria"/>
      <w:color w:val="404040"/>
      <w:sz w:val="20"/>
      <w:szCs w:val="20"/>
      <w:lang w:val="en-AU"/>
    </w:rPr>
  </w:style>
  <w:style w:type="character" w:customStyle="1" w:styleId="Heading9Char">
    <w:name w:val="Heading 9 Char"/>
    <w:basedOn w:val="DefaultParagraphFont"/>
    <w:link w:val="Heading9"/>
    <w:uiPriority w:val="99"/>
    <w:locked/>
    <w:rsid w:val="004264CA"/>
    <w:rPr>
      <w:rFonts w:ascii="Cambria" w:eastAsia="Times New Roman" w:hAnsi="Cambria" w:cs="Cambria"/>
      <w:i/>
      <w:iCs/>
      <w:color w:val="404040"/>
      <w:sz w:val="20"/>
      <w:szCs w:val="20"/>
      <w:lang w:val="en-AU"/>
    </w:rPr>
  </w:style>
  <w:style w:type="paragraph" w:customStyle="1" w:styleId="text">
    <w:name w:val="text"/>
    <w:basedOn w:val="Header"/>
    <w:uiPriority w:val="99"/>
    <w:rsid w:val="00D067AE"/>
    <w:pPr>
      <w:widowControl w:val="0"/>
      <w:tabs>
        <w:tab w:val="clear" w:pos="4513"/>
        <w:tab w:val="clear" w:pos="9026"/>
        <w:tab w:val="center" w:pos="4320"/>
        <w:tab w:val="right" w:pos="8640"/>
      </w:tabs>
      <w:suppressAutoHyphens/>
      <w:autoSpaceDE w:val="0"/>
      <w:autoSpaceDN w:val="0"/>
      <w:adjustRightInd w:val="0"/>
      <w:spacing w:before="57" w:line="310" w:lineRule="atLeast"/>
      <w:textAlignment w:val="baseline"/>
    </w:pPr>
    <w:rPr>
      <w:rFonts w:ascii="GillSans-Light" w:eastAsia="Times New Roman" w:hAnsi="GillSans-Light" w:cs="GillSans-Light"/>
      <w:color w:val="000000"/>
      <w:sz w:val="23"/>
      <w:szCs w:val="23"/>
    </w:rPr>
  </w:style>
  <w:style w:type="paragraph" w:styleId="Header">
    <w:name w:val="header"/>
    <w:basedOn w:val="Normal"/>
    <w:link w:val="HeaderChar"/>
    <w:uiPriority w:val="99"/>
    <w:rsid w:val="00D067A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067AE"/>
  </w:style>
  <w:style w:type="paragraph" w:customStyle="1" w:styleId="Noparagraphstyle">
    <w:name w:val="[No paragraph style]"/>
    <w:uiPriority w:val="99"/>
    <w:rsid w:val="00D067AE"/>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GB"/>
    </w:rPr>
  </w:style>
  <w:style w:type="character" w:styleId="Hyperlink">
    <w:name w:val="Hyperlink"/>
    <w:basedOn w:val="DefaultParagraphFont"/>
    <w:uiPriority w:val="99"/>
    <w:rsid w:val="00D067AE"/>
    <w:rPr>
      <w:color w:val="0000FF"/>
      <w:u w:val="single"/>
    </w:rPr>
  </w:style>
  <w:style w:type="paragraph" w:styleId="BodyText">
    <w:name w:val="Body Text"/>
    <w:basedOn w:val="Normal"/>
    <w:link w:val="BodyTextChar"/>
    <w:uiPriority w:val="99"/>
    <w:semiHidden/>
    <w:rsid w:val="00D067AE"/>
    <w:pPr>
      <w:spacing w:after="0" w:line="240" w:lineRule="auto"/>
    </w:pPr>
    <w:rPr>
      <w:rFonts w:ascii="GillSans" w:eastAsia="Times New Roman" w:hAnsi="GillSans" w:cs="GillSans"/>
      <w:b/>
      <w:bCs/>
      <w:color w:val="FFFFFF"/>
      <w:sz w:val="20"/>
      <w:szCs w:val="20"/>
    </w:rPr>
  </w:style>
  <w:style w:type="character" w:customStyle="1" w:styleId="BodyTextChar">
    <w:name w:val="Body Text Char"/>
    <w:basedOn w:val="DefaultParagraphFont"/>
    <w:link w:val="BodyText"/>
    <w:uiPriority w:val="99"/>
    <w:semiHidden/>
    <w:locked/>
    <w:rsid w:val="00D067AE"/>
    <w:rPr>
      <w:rFonts w:ascii="GillSans" w:hAnsi="GillSans" w:cs="GillSans"/>
      <w:b/>
      <w:bCs/>
      <w:snapToGrid w:val="0"/>
      <w:color w:val="FFFFFF"/>
      <w:sz w:val="24"/>
      <w:szCs w:val="24"/>
    </w:rPr>
  </w:style>
  <w:style w:type="paragraph" w:styleId="ListParagraph">
    <w:name w:val="List Paragraph"/>
    <w:basedOn w:val="Normal"/>
    <w:uiPriority w:val="34"/>
    <w:qFormat/>
    <w:rsid w:val="00DB44DC"/>
    <w:pPr>
      <w:ind w:left="720"/>
    </w:pPr>
  </w:style>
  <w:style w:type="paragraph" w:styleId="FootnoteText">
    <w:name w:val="footnote text"/>
    <w:basedOn w:val="Normal"/>
    <w:link w:val="FootnoteTextChar"/>
    <w:uiPriority w:val="99"/>
    <w:semiHidden/>
    <w:rsid w:val="00DB44D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B44DC"/>
    <w:rPr>
      <w:sz w:val="20"/>
      <w:szCs w:val="20"/>
    </w:rPr>
  </w:style>
  <w:style w:type="character" w:styleId="FootnoteReference">
    <w:name w:val="footnote reference"/>
    <w:basedOn w:val="DefaultParagraphFont"/>
    <w:uiPriority w:val="99"/>
    <w:semiHidden/>
    <w:rsid w:val="00DB44DC"/>
    <w:rPr>
      <w:vertAlign w:val="superscript"/>
    </w:rPr>
  </w:style>
  <w:style w:type="paragraph" w:styleId="Caption">
    <w:name w:val="caption"/>
    <w:basedOn w:val="Normal"/>
    <w:next w:val="Normal"/>
    <w:uiPriority w:val="99"/>
    <w:qFormat/>
    <w:rsid w:val="00DB44DC"/>
    <w:pPr>
      <w:spacing w:line="240" w:lineRule="auto"/>
    </w:pPr>
    <w:rPr>
      <w:b/>
      <w:bCs/>
      <w:color w:val="4F81BD"/>
      <w:sz w:val="18"/>
      <w:szCs w:val="18"/>
    </w:rPr>
  </w:style>
  <w:style w:type="table" w:customStyle="1" w:styleId="LightShading-Accent11">
    <w:name w:val="Light Shading - Accent 11"/>
    <w:uiPriority w:val="99"/>
    <w:rsid w:val="00DB44DC"/>
    <w:rPr>
      <w:rFonts w:cs="Calibri"/>
      <w:color w:val="365F91"/>
      <w:sz w:val="20"/>
      <w:szCs w:val="20"/>
      <w:lang w:val="en-AU" w:eastAsia="en-A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uiPriority w:val="99"/>
    <w:rsid w:val="00DB44DC"/>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B4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44DC"/>
    <w:rPr>
      <w:rFonts w:ascii="Tahoma" w:hAnsi="Tahoma" w:cs="Tahoma"/>
      <w:sz w:val="16"/>
      <w:szCs w:val="16"/>
    </w:rPr>
  </w:style>
  <w:style w:type="character" w:styleId="CommentReference">
    <w:name w:val="annotation reference"/>
    <w:basedOn w:val="DefaultParagraphFont"/>
    <w:uiPriority w:val="99"/>
    <w:semiHidden/>
    <w:rsid w:val="00790B73"/>
    <w:rPr>
      <w:rFonts w:cs="Times New Roman"/>
      <w:sz w:val="16"/>
      <w:szCs w:val="16"/>
    </w:rPr>
  </w:style>
  <w:style w:type="paragraph" w:styleId="CommentText">
    <w:name w:val="annotation text"/>
    <w:basedOn w:val="Normal"/>
    <w:link w:val="CommentTextChar"/>
    <w:uiPriority w:val="99"/>
    <w:semiHidden/>
    <w:rsid w:val="00790B7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90B73"/>
    <w:rPr>
      <w:rFonts w:cs="Times New Roman"/>
      <w:sz w:val="20"/>
      <w:szCs w:val="20"/>
    </w:rPr>
  </w:style>
  <w:style w:type="paragraph" w:styleId="CommentSubject">
    <w:name w:val="annotation subject"/>
    <w:basedOn w:val="CommentText"/>
    <w:next w:val="CommentText"/>
    <w:link w:val="CommentSubjectChar"/>
    <w:uiPriority w:val="99"/>
    <w:semiHidden/>
    <w:rsid w:val="00790B73"/>
    <w:rPr>
      <w:b/>
      <w:bCs/>
    </w:rPr>
  </w:style>
  <w:style w:type="character" w:customStyle="1" w:styleId="CommentSubjectChar">
    <w:name w:val="Comment Subject Char"/>
    <w:basedOn w:val="CommentTextChar"/>
    <w:link w:val="CommentSubject"/>
    <w:uiPriority w:val="99"/>
    <w:semiHidden/>
    <w:locked/>
    <w:rsid w:val="00790B73"/>
    <w:rPr>
      <w:b/>
      <w:bCs/>
    </w:rPr>
  </w:style>
  <w:style w:type="paragraph" w:styleId="Footer">
    <w:name w:val="footer"/>
    <w:basedOn w:val="Normal"/>
    <w:link w:val="FooterChar"/>
    <w:uiPriority w:val="99"/>
    <w:rsid w:val="009C0E0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C0E07"/>
    <w:rPr>
      <w:rFonts w:cs="Times New Roman"/>
    </w:rPr>
  </w:style>
  <w:style w:type="paragraph" w:customStyle="1" w:styleId="aStyle2">
    <w:name w:val="aStyle2"/>
    <w:basedOn w:val="BodyText"/>
    <w:link w:val="aStyle2Char"/>
    <w:uiPriority w:val="99"/>
    <w:rsid w:val="00F956A9"/>
    <w:pPr>
      <w:spacing w:before="40" w:after="120" w:line="280" w:lineRule="atLeast"/>
      <w:ind w:left="1134"/>
      <w:jc w:val="both"/>
    </w:pPr>
    <w:rPr>
      <w:rFonts w:ascii="Arial" w:hAnsi="Arial" w:cs="Arial"/>
      <w:b w:val="0"/>
      <w:bCs w:val="0"/>
      <w:color w:val="auto"/>
    </w:rPr>
  </w:style>
  <w:style w:type="character" w:customStyle="1" w:styleId="aStyle2Char">
    <w:name w:val="aStyle2 Char"/>
    <w:basedOn w:val="BodyTextChar"/>
    <w:link w:val="aStyle2"/>
    <w:uiPriority w:val="99"/>
    <w:locked/>
    <w:rsid w:val="00F956A9"/>
    <w:rPr>
      <w:rFonts w:ascii="Arial" w:hAnsi="Arial" w:cs="Arial"/>
      <w:sz w:val="20"/>
      <w:szCs w:val="20"/>
    </w:rPr>
  </w:style>
  <w:style w:type="character" w:styleId="Strong">
    <w:name w:val="Strong"/>
    <w:basedOn w:val="DefaultParagraphFont"/>
    <w:uiPriority w:val="99"/>
    <w:qFormat/>
    <w:rsid w:val="00F956A9"/>
    <w:rPr>
      <w:rFonts w:cs="Times New Roman"/>
      <w:b/>
      <w:bCs/>
    </w:rPr>
  </w:style>
  <w:style w:type="paragraph" w:styleId="NormalWeb">
    <w:name w:val="Normal (Web)"/>
    <w:basedOn w:val="Normal"/>
    <w:uiPriority w:val="99"/>
    <w:rsid w:val="00F956A9"/>
    <w:pPr>
      <w:spacing w:before="100" w:beforeAutospacing="1" w:after="100" w:afterAutospacing="1" w:line="240" w:lineRule="auto"/>
    </w:pPr>
    <w:rPr>
      <w:rFonts w:eastAsia="Times New Roman"/>
      <w:sz w:val="24"/>
      <w:szCs w:val="24"/>
      <w:lang w:eastAsia="en-AU"/>
    </w:rPr>
  </w:style>
  <w:style w:type="paragraph" w:customStyle="1" w:styleId="Default">
    <w:name w:val="Default"/>
    <w:rsid w:val="0063103D"/>
    <w:pPr>
      <w:autoSpaceDE w:val="0"/>
      <w:autoSpaceDN w:val="0"/>
      <w:adjustRightInd w:val="0"/>
    </w:pPr>
    <w:rPr>
      <w:rFonts w:ascii="Arial" w:hAnsi="Arial"/>
      <w:color w:val="000000"/>
      <w:sz w:val="24"/>
      <w:szCs w:val="24"/>
      <w:lang w:val="en-AU"/>
    </w:rPr>
  </w:style>
  <w:style w:type="paragraph" w:customStyle="1" w:styleId="msolistparagraph0">
    <w:name w:val="msolistparagraph"/>
    <w:basedOn w:val="Normal"/>
    <w:uiPriority w:val="99"/>
    <w:rsid w:val="00117986"/>
    <w:pPr>
      <w:spacing w:after="0" w:line="240" w:lineRule="auto"/>
      <w:ind w:left="720"/>
    </w:pPr>
    <w:rPr>
      <w:rFonts w:ascii="Calibri" w:hAnsi="Calibri" w:cs="Calibri"/>
    </w:rPr>
  </w:style>
  <w:style w:type="table" w:styleId="TableGrid">
    <w:name w:val="Table Grid"/>
    <w:basedOn w:val="TableNormal"/>
    <w:uiPriority w:val="99"/>
    <w:rsid w:val="00C3666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ing-desc">
    <w:name w:val="listing-desc"/>
    <w:basedOn w:val="DefaultParagraphFont"/>
    <w:uiPriority w:val="99"/>
    <w:rsid w:val="00336EFD"/>
    <w:rPr>
      <w:rFonts w:cs="Times New Roman"/>
    </w:rPr>
  </w:style>
  <w:style w:type="character" w:customStyle="1" w:styleId="KeyMessageTextChar">
    <w:name w:val="KeyMessageText Char"/>
    <w:basedOn w:val="DefaultParagraphFont"/>
    <w:link w:val="KeyMessageText"/>
    <w:uiPriority w:val="99"/>
    <w:locked/>
    <w:rsid w:val="005443BE"/>
    <w:rPr>
      <w:rFonts w:ascii="Gill Sans MT" w:hAnsi="Gill Sans MT" w:cs="Gill Sans MT"/>
      <w:sz w:val="32"/>
      <w:szCs w:val="32"/>
      <w:lang w:val="en-AU"/>
    </w:rPr>
  </w:style>
  <w:style w:type="paragraph" w:customStyle="1" w:styleId="KeyMessageText">
    <w:name w:val="KeyMessageText"/>
    <w:basedOn w:val="Normal"/>
    <w:link w:val="KeyMessageTextChar"/>
    <w:uiPriority w:val="99"/>
    <w:rsid w:val="005443BE"/>
    <w:pPr>
      <w:numPr>
        <w:numId w:val="8"/>
      </w:numPr>
      <w:spacing w:after="240" w:line="240" w:lineRule="auto"/>
      <w:ind w:left="357" w:hanging="357"/>
    </w:pPr>
    <w:rPr>
      <w:rFonts w:ascii="Gill Sans MT" w:hAnsi="Gill Sans MT" w:cs="Gill Sans MT"/>
      <w:sz w:val="32"/>
      <w:szCs w:val="32"/>
    </w:rPr>
  </w:style>
  <w:style w:type="paragraph" w:customStyle="1" w:styleId="sub-head">
    <w:name w:val="sub-head"/>
    <w:basedOn w:val="Normal"/>
    <w:uiPriority w:val="99"/>
    <w:rsid w:val="00C34F95"/>
    <w:pPr>
      <w:overflowPunct w:val="0"/>
      <w:autoSpaceDE w:val="0"/>
      <w:autoSpaceDN w:val="0"/>
      <w:adjustRightInd w:val="0"/>
      <w:spacing w:before="120" w:after="120" w:line="240" w:lineRule="auto"/>
      <w:textAlignment w:val="baseline"/>
    </w:pPr>
    <w:rPr>
      <w:rFonts w:ascii="Times New Roman" w:eastAsia="Times New Roman" w:hAnsi="Times New Roman" w:cs="Times New Roman"/>
      <w:b/>
      <w:bCs/>
      <w:sz w:val="26"/>
      <w:szCs w:val="26"/>
      <w:lang w:val="en-US"/>
    </w:rPr>
  </w:style>
  <w:style w:type="paragraph" w:styleId="BodyTextIndent">
    <w:name w:val="Body Text Indent"/>
    <w:basedOn w:val="Normal"/>
    <w:link w:val="BodyTextIndentChar"/>
    <w:uiPriority w:val="99"/>
    <w:semiHidden/>
    <w:rsid w:val="000E4DB3"/>
    <w:pPr>
      <w:spacing w:after="120"/>
      <w:ind w:left="283"/>
    </w:pPr>
  </w:style>
  <w:style w:type="character" w:customStyle="1" w:styleId="BodyTextIndentChar">
    <w:name w:val="Body Text Indent Char"/>
    <w:basedOn w:val="DefaultParagraphFont"/>
    <w:link w:val="BodyTextIndent"/>
    <w:uiPriority w:val="99"/>
    <w:semiHidden/>
    <w:locked/>
    <w:rsid w:val="000E4DB3"/>
    <w:rPr>
      <w:rFonts w:ascii="Arial" w:hAnsi="Arial" w:cs="Arial"/>
    </w:rPr>
  </w:style>
  <w:style w:type="paragraph" w:styleId="BodyText2">
    <w:name w:val="Body Text 2"/>
    <w:basedOn w:val="Normal"/>
    <w:link w:val="BodyText2Char"/>
    <w:uiPriority w:val="99"/>
    <w:semiHidden/>
    <w:rsid w:val="000E4DB3"/>
    <w:pPr>
      <w:spacing w:after="120" w:line="480" w:lineRule="auto"/>
    </w:pPr>
  </w:style>
  <w:style w:type="character" w:customStyle="1" w:styleId="BodyText2Char">
    <w:name w:val="Body Text 2 Char"/>
    <w:basedOn w:val="DefaultParagraphFont"/>
    <w:link w:val="BodyText2"/>
    <w:uiPriority w:val="99"/>
    <w:semiHidden/>
    <w:locked/>
    <w:rsid w:val="000E4DB3"/>
    <w:rPr>
      <w:rFonts w:ascii="Arial" w:hAnsi="Arial" w:cs="Arial"/>
    </w:rPr>
  </w:style>
  <w:style w:type="paragraph" w:styleId="TOCHeading">
    <w:name w:val="TOC Heading"/>
    <w:basedOn w:val="Heading1"/>
    <w:next w:val="Normal"/>
    <w:uiPriority w:val="99"/>
    <w:qFormat/>
    <w:rsid w:val="000D2CE5"/>
    <w:pPr>
      <w:numPr>
        <w:numId w:val="0"/>
      </w:numPr>
      <w:spacing w:after="0"/>
      <w:outlineLvl w:val="9"/>
    </w:pPr>
    <w:rPr>
      <w:rFonts w:ascii="Cambria" w:hAnsi="Cambria" w:cs="Cambria"/>
      <w:caps w:val="0"/>
      <w:color w:val="365F91"/>
      <w:lang w:val="en-US"/>
    </w:rPr>
  </w:style>
  <w:style w:type="paragraph" w:styleId="TOC1">
    <w:name w:val="toc 1"/>
    <w:basedOn w:val="Normal"/>
    <w:next w:val="Normal"/>
    <w:autoRedefine/>
    <w:uiPriority w:val="39"/>
    <w:rsid w:val="000D2CE5"/>
    <w:pPr>
      <w:spacing w:after="100"/>
    </w:pPr>
  </w:style>
  <w:style w:type="paragraph" w:styleId="TOC2">
    <w:name w:val="toc 2"/>
    <w:basedOn w:val="Normal"/>
    <w:next w:val="Normal"/>
    <w:autoRedefine/>
    <w:uiPriority w:val="39"/>
    <w:rsid w:val="000D2CE5"/>
    <w:pPr>
      <w:spacing w:after="100"/>
      <w:ind w:left="220"/>
    </w:pPr>
  </w:style>
  <w:style w:type="paragraph" w:styleId="TOC3">
    <w:name w:val="toc 3"/>
    <w:basedOn w:val="Normal"/>
    <w:next w:val="Normal"/>
    <w:autoRedefine/>
    <w:uiPriority w:val="39"/>
    <w:rsid w:val="000D2CE5"/>
    <w:pPr>
      <w:spacing w:after="100"/>
      <w:ind w:left="440"/>
    </w:pPr>
  </w:style>
  <w:style w:type="paragraph" w:styleId="ListBullet">
    <w:name w:val="List Bullet"/>
    <w:basedOn w:val="BodyText"/>
    <w:uiPriority w:val="99"/>
    <w:rsid w:val="000A0284"/>
    <w:pPr>
      <w:numPr>
        <w:numId w:val="9"/>
      </w:numPr>
      <w:spacing w:before="80" w:line="280" w:lineRule="exact"/>
    </w:pPr>
    <w:rPr>
      <w:rFonts w:ascii="Garamond" w:hAnsi="Garamond" w:cs="Garamond"/>
      <w:b w:val="0"/>
      <w:bCs w:val="0"/>
      <w:color w:val="auto"/>
      <w:sz w:val="24"/>
      <w:szCs w:val="24"/>
      <w:lang w:eastAsia="en-AU"/>
    </w:rPr>
  </w:style>
  <w:style w:type="paragraph" w:styleId="ListBullet2">
    <w:name w:val="List Bullet 2"/>
    <w:basedOn w:val="ListBullet"/>
    <w:uiPriority w:val="99"/>
    <w:rsid w:val="000A0284"/>
    <w:pPr>
      <w:numPr>
        <w:ilvl w:val="1"/>
      </w:numPr>
      <w:tabs>
        <w:tab w:val="num" w:pos="1080"/>
      </w:tabs>
      <w:ind w:hanging="360"/>
    </w:pPr>
  </w:style>
  <w:style w:type="paragraph" w:styleId="ListBullet3">
    <w:name w:val="List Bullet 3"/>
    <w:basedOn w:val="ListBullet2"/>
    <w:uiPriority w:val="99"/>
    <w:rsid w:val="000A0284"/>
    <w:pPr>
      <w:numPr>
        <w:ilvl w:val="2"/>
      </w:numPr>
      <w:tabs>
        <w:tab w:val="num" w:pos="1080"/>
      </w:tabs>
      <w:ind w:hanging="360"/>
    </w:pPr>
  </w:style>
  <w:style w:type="paragraph" w:customStyle="1" w:styleId="figure">
    <w:name w:val="figure"/>
    <w:basedOn w:val="Normal"/>
    <w:uiPriority w:val="99"/>
    <w:rsid w:val="00B034EF"/>
    <w:pPr>
      <w:overflowPunct w:val="0"/>
      <w:autoSpaceDE w:val="0"/>
      <w:autoSpaceDN w:val="0"/>
      <w:adjustRightInd w:val="0"/>
      <w:spacing w:before="120" w:after="0" w:line="300" w:lineRule="atLeast"/>
      <w:textAlignment w:val="baseline"/>
    </w:pPr>
    <w:rPr>
      <w:rFonts w:ascii="Times New Roman" w:eastAsia="Times New Roman" w:hAnsi="Times New Roman" w:cs="Times New Roman"/>
      <w:i/>
      <w:iCs/>
      <w:lang w:eastAsia="en-AU"/>
    </w:rPr>
  </w:style>
  <w:style w:type="character" w:customStyle="1" w:styleId="InstructionText">
    <w:name w:val="Instruction Text"/>
    <w:basedOn w:val="DefaultParagraphFont"/>
    <w:uiPriority w:val="99"/>
    <w:rsid w:val="00371762"/>
    <w:rPr>
      <w:rFonts w:cs="Times New Roman"/>
      <w:i/>
      <w:iCs/>
      <w:color w:val="auto"/>
    </w:rPr>
  </w:style>
  <w:style w:type="paragraph" w:customStyle="1" w:styleId="NormalItalics">
    <w:name w:val="NormalItalics"/>
    <w:basedOn w:val="Normal"/>
    <w:uiPriority w:val="99"/>
    <w:rsid w:val="00371762"/>
    <w:pPr>
      <w:spacing w:before="100" w:beforeAutospacing="1" w:after="100" w:afterAutospacing="1" w:line="240" w:lineRule="auto"/>
    </w:pPr>
    <w:rPr>
      <w:rFonts w:eastAsia="Times New Roman"/>
      <w:i/>
      <w:iCs/>
      <w:lang w:eastAsia="en-AU"/>
    </w:rPr>
  </w:style>
  <w:style w:type="paragraph" w:customStyle="1" w:styleId="Texttoreplace">
    <w:name w:val="Text to replace"/>
    <w:basedOn w:val="Normal"/>
    <w:link w:val="TexttoreplaceChar"/>
    <w:uiPriority w:val="99"/>
    <w:rsid w:val="00162E62"/>
    <w:rPr>
      <w:rFonts w:cs="Times New Roman"/>
      <w:i/>
      <w:iCs/>
      <w:sz w:val="24"/>
      <w:szCs w:val="24"/>
    </w:rPr>
  </w:style>
  <w:style w:type="character" w:customStyle="1" w:styleId="TexttoreplaceChar">
    <w:name w:val="Text to replace Char"/>
    <w:basedOn w:val="DefaultParagraphFont"/>
    <w:link w:val="Texttoreplace"/>
    <w:uiPriority w:val="99"/>
    <w:locked/>
    <w:rsid w:val="00162E62"/>
    <w:rPr>
      <w:rFonts w:ascii="Times New Roman" w:hAnsi="Times New Roman" w:cs="Times New Roman"/>
      <w:i/>
      <w:iCs/>
      <w:sz w:val="24"/>
      <w:szCs w:val="24"/>
    </w:rPr>
  </w:style>
  <w:style w:type="paragraph" w:customStyle="1" w:styleId="NormalItalic">
    <w:name w:val="NormalItalic"/>
    <w:basedOn w:val="Normal"/>
    <w:uiPriority w:val="99"/>
    <w:rsid w:val="007649C4"/>
    <w:pPr>
      <w:spacing w:before="100" w:beforeAutospacing="1" w:after="100" w:afterAutospacing="1" w:line="240" w:lineRule="auto"/>
    </w:pPr>
    <w:rPr>
      <w:rFonts w:eastAsia="Times New Roman"/>
      <w:i/>
      <w:iCs/>
      <w:lang w:eastAsia="en-AU"/>
    </w:rPr>
  </w:style>
</w:styles>
</file>

<file path=word/webSettings.xml><?xml version="1.0" encoding="utf-8"?>
<w:webSettings xmlns:r="http://schemas.openxmlformats.org/officeDocument/2006/relationships" xmlns:w="http://schemas.openxmlformats.org/wordprocessingml/2006/main">
  <w:divs>
    <w:div w:id="46413198">
      <w:marLeft w:val="0"/>
      <w:marRight w:val="0"/>
      <w:marTop w:val="0"/>
      <w:marBottom w:val="0"/>
      <w:divBdr>
        <w:top w:val="none" w:sz="0" w:space="0" w:color="auto"/>
        <w:left w:val="none" w:sz="0" w:space="0" w:color="auto"/>
        <w:bottom w:val="none" w:sz="0" w:space="0" w:color="auto"/>
        <w:right w:val="none" w:sz="0" w:space="0" w:color="auto"/>
      </w:divBdr>
      <w:divsChild>
        <w:div w:id="46413228">
          <w:marLeft w:val="0"/>
          <w:marRight w:val="0"/>
          <w:marTop w:val="0"/>
          <w:marBottom w:val="0"/>
          <w:divBdr>
            <w:top w:val="none" w:sz="0" w:space="0" w:color="auto"/>
            <w:left w:val="none" w:sz="0" w:space="0" w:color="auto"/>
            <w:bottom w:val="none" w:sz="0" w:space="0" w:color="auto"/>
            <w:right w:val="none" w:sz="0" w:space="0" w:color="auto"/>
          </w:divBdr>
          <w:divsChild>
            <w:div w:id="464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200">
      <w:marLeft w:val="0"/>
      <w:marRight w:val="0"/>
      <w:marTop w:val="0"/>
      <w:marBottom w:val="0"/>
      <w:divBdr>
        <w:top w:val="none" w:sz="0" w:space="0" w:color="auto"/>
        <w:left w:val="none" w:sz="0" w:space="0" w:color="auto"/>
        <w:bottom w:val="none" w:sz="0" w:space="0" w:color="auto"/>
        <w:right w:val="none" w:sz="0" w:space="0" w:color="auto"/>
      </w:divBdr>
    </w:div>
    <w:div w:id="46413202">
      <w:marLeft w:val="0"/>
      <w:marRight w:val="0"/>
      <w:marTop w:val="0"/>
      <w:marBottom w:val="0"/>
      <w:divBdr>
        <w:top w:val="none" w:sz="0" w:space="0" w:color="auto"/>
        <w:left w:val="none" w:sz="0" w:space="0" w:color="auto"/>
        <w:bottom w:val="none" w:sz="0" w:space="0" w:color="auto"/>
        <w:right w:val="none" w:sz="0" w:space="0" w:color="auto"/>
      </w:divBdr>
    </w:div>
    <w:div w:id="46413204">
      <w:marLeft w:val="0"/>
      <w:marRight w:val="0"/>
      <w:marTop w:val="0"/>
      <w:marBottom w:val="0"/>
      <w:divBdr>
        <w:top w:val="none" w:sz="0" w:space="0" w:color="auto"/>
        <w:left w:val="none" w:sz="0" w:space="0" w:color="auto"/>
        <w:bottom w:val="none" w:sz="0" w:space="0" w:color="auto"/>
        <w:right w:val="none" w:sz="0" w:space="0" w:color="auto"/>
      </w:divBdr>
    </w:div>
    <w:div w:id="46413205">
      <w:marLeft w:val="0"/>
      <w:marRight w:val="0"/>
      <w:marTop w:val="0"/>
      <w:marBottom w:val="0"/>
      <w:divBdr>
        <w:top w:val="none" w:sz="0" w:space="0" w:color="auto"/>
        <w:left w:val="none" w:sz="0" w:space="0" w:color="auto"/>
        <w:bottom w:val="none" w:sz="0" w:space="0" w:color="auto"/>
        <w:right w:val="none" w:sz="0" w:space="0" w:color="auto"/>
      </w:divBdr>
    </w:div>
    <w:div w:id="46413209">
      <w:marLeft w:val="0"/>
      <w:marRight w:val="0"/>
      <w:marTop w:val="0"/>
      <w:marBottom w:val="0"/>
      <w:divBdr>
        <w:top w:val="none" w:sz="0" w:space="0" w:color="auto"/>
        <w:left w:val="none" w:sz="0" w:space="0" w:color="auto"/>
        <w:bottom w:val="none" w:sz="0" w:space="0" w:color="auto"/>
        <w:right w:val="none" w:sz="0" w:space="0" w:color="auto"/>
      </w:divBdr>
    </w:div>
    <w:div w:id="46413210">
      <w:marLeft w:val="0"/>
      <w:marRight w:val="0"/>
      <w:marTop w:val="0"/>
      <w:marBottom w:val="0"/>
      <w:divBdr>
        <w:top w:val="none" w:sz="0" w:space="0" w:color="auto"/>
        <w:left w:val="none" w:sz="0" w:space="0" w:color="auto"/>
        <w:bottom w:val="none" w:sz="0" w:space="0" w:color="auto"/>
        <w:right w:val="none" w:sz="0" w:space="0" w:color="auto"/>
      </w:divBdr>
    </w:div>
    <w:div w:id="46413211">
      <w:marLeft w:val="0"/>
      <w:marRight w:val="0"/>
      <w:marTop w:val="0"/>
      <w:marBottom w:val="0"/>
      <w:divBdr>
        <w:top w:val="none" w:sz="0" w:space="0" w:color="auto"/>
        <w:left w:val="none" w:sz="0" w:space="0" w:color="auto"/>
        <w:bottom w:val="none" w:sz="0" w:space="0" w:color="auto"/>
        <w:right w:val="none" w:sz="0" w:space="0" w:color="auto"/>
      </w:divBdr>
    </w:div>
    <w:div w:id="46413212">
      <w:marLeft w:val="0"/>
      <w:marRight w:val="0"/>
      <w:marTop w:val="0"/>
      <w:marBottom w:val="0"/>
      <w:divBdr>
        <w:top w:val="none" w:sz="0" w:space="0" w:color="auto"/>
        <w:left w:val="none" w:sz="0" w:space="0" w:color="auto"/>
        <w:bottom w:val="none" w:sz="0" w:space="0" w:color="auto"/>
        <w:right w:val="none" w:sz="0" w:space="0" w:color="auto"/>
      </w:divBdr>
      <w:divsChild>
        <w:div w:id="46413201">
          <w:marLeft w:val="0"/>
          <w:marRight w:val="0"/>
          <w:marTop w:val="0"/>
          <w:marBottom w:val="0"/>
          <w:divBdr>
            <w:top w:val="none" w:sz="0" w:space="0" w:color="auto"/>
            <w:left w:val="none" w:sz="0" w:space="0" w:color="auto"/>
            <w:bottom w:val="none" w:sz="0" w:space="0" w:color="auto"/>
            <w:right w:val="none" w:sz="0" w:space="0" w:color="auto"/>
          </w:divBdr>
          <w:divsChild>
            <w:div w:id="46413246">
              <w:marLeft w:val="122"/>
              <w:marRight w:val="109"/>
              <w:marTop w:val="14"/>
              <w:marBottom w:val="0"/>
              <w:divBdr>
                <w:top w:val="none" w:sz="0" w:space="0" w:color="auto"/>
                <w:left w:val="none" w:sz="0" w:space="0" w:color="auto"/>
                <w:bottom w:val="none" w:sz="0" w:space="0" w:color="auto"/>
                <w:right w:val="none" w:sz="0" w:space="0" w:color="auto"/>
              </w:divBdr>
              <w:divsChild>
                <w:div w:id="46413245">
                  <w:marLeft w:val="0"/>
                  <w:marRight w:val="0"/>
                  <w:marTop w:val="0"/>
                  <w:marBottom w:val="0"/>
                  <w:divBdr>
                    <w:top w:val="none" w:sz="0" w:space="0" w:color="auto"/>
                    <w:left w:val="none" w:sz="0" w:space="0" w:color="auto"/>
                    <w:bottom w:val="none" w:sz="0" w:space="0" w:color="auto"/>
                    <w:right w:val="none" w:sz="0" w:space="0" w:color="auto"/>
                  </w:divBdr>
                  <w:divsChild>
                    <w:div w:id="464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3213">
      <w:marLeft w:val="0"/>
      <w:marRight w:val="0"/>
      <w:marTop w:val="0"/>
      <w:marBottom w:val="0"/>
      <w:divBdr>
        <w:top w:val="none" w:sz="0" w:space="0" w:color="auto"/>
        <w:left w:val="none" w:sz="0" w:space="0" w:color="auto"/>
        <w:bottom w:val="none" w:sz="0" w:space="0" w:color="auto"/>
        <w:right w:val="none" w:sz="0" w:space="0" w:color="auto"/>
      </w:divBdr>
    </w:div>
    <w:div w:id="46413214">
      <w:marLeft w:val="0"/>
      <w:marRight w:val="0"/>
      <w:marTop w:val="0"/>
      <w:marBottom w:val="0"/>
      <w:divBdr>
        <w:top w:val="none" w:sz="0" w:space="0" w:color="auto"/>
        <w:left w:val="none" w:sz="0" w:space="0" w:color="auto"/>
        <w:bottom w:val="none" w:sz="0" w:space="0" w:color="auto"/>
        <w:right w:val="none" w:sz="0" w:space="0" w:color="auto"/>
      </w:divBdr>
    </w:div>
    <w:div w:id="46413215">
      <w:marLeft w:val="0"/>
      <w:marRight w:val="0"/>
      <w:marTop w:val="0"/>
      <w:marBottom w:val="0"/>
      <w:divBdr>
        <w:top w:val="none" w:sz="0" w:space="0" w:color="auto"/>
        <w:left w:val="none" w:sz="0" w:space="0" w:color="auto"/>
        <w:bottom w:val="none" w:sz="0" w:space="0" w:color="auto"/>
        <w:right w:val="none" w:sz="0" w:space="0" w:color="auto"/>
      </w:divBdr>
    </w:div>
    <w:div w:id="46413217">
      <w:marLeft w:val="0"/>
      <w:marRight w:val="0"/>
      <w:marTop w:val="0"/>
      <w:marBottom w:val="0"/>
      <w:divBdr>
        <w:top w:val="none" w:sz="0" w:space="0" w:color="auto"/>
        <w:left w:val="none" w:sz="0" w:space="0" w:color="auto"/>
        <w:bottom w:val="none" w:sz="0" w:space="0" w:color="auto"/>
        <w:right w:val="none" w:sz="0" w:space="0" w:color="auto"/>
      </w:divBdr>
      <w:divsChild>
        <w:div w:id="46413229">
          <w:marLeft w:val="0"/>
          <w:marRight w:val="0"/>
          <w:marTop w:val="0"/>
          <w:marBottom w:val="0"/>
          <w:divBdr>
            <w:top w:val="none" w:sz="0" w:space="0" w:color="auto"/>
            <w:left w:val="none" w:sz="0" w:space="0" w:color="auto"/>
            <w:bottom w:val="none" w:sz="0" w:space="0" w:color="auto"/>
            <w:right w:val="none" w:sz="0" w:space="0" w:color="auto"/>
          </w:divBdr>
          <w:divsChild>
            <w:div w:id="464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219">
      <w:marLeft w:val="0"/>
      <w:marRight w:val="0"/>
      <w:marTop w:val="0"/>
      <w:marBottom w:val="0"/>
      <w:divBdr>
        <w:top w:val="none" w:sz="0" w:space="0" w:color="auto"/>
        <w:left w:val="none" w:sz="0" w:space="0" w:color="auto"/>
        <w:bottom w:val="none" w:sz="0" w:space="0" w:color="auto"/>
        <w:right w:val="none" w:sz="0" w:space="0" w:color="auto"/>
      </w:divBdr>
    </w:div>
    <w:div w:id="46413220">
      <w:marLeft w:val="0"/>
      <w:marRight w:val="0"/>
      <w:marTop w:val="0"/>
      <w:marBottom w:val="0"/>
      <w:divBdr>
        <w:top w:val="none" w:sz="0" w:space="0" w:color="auto"/>
        <w:left w:val="none" w:sz="0" w:space="0" w:color="auto"/>
        <w:bottom w:val="none" w:sz="0" w:space="0" w:color="auto"/>
        <w:right w:val="none" w:sz="0" w:space="0" w:color="auto"/>
      </w:divBdr>
    </w:div>
    <w:div w:id="46413221">
      <w:marLeft w:val="0"/>
      <w:marRight w:val="0"/>
      <w:marTop w:val="0"/>
      <w:marBottom w:val="0"/>
      <w:divBdr>
        <w:top w:val="none" w:sz="0" w:space="0" w:color="auto"/>
        <w:left w:val="none" w:sz="0" w:space="0" w:color="auto"/>
        <w:bottom w:val="none" w:sz="0" w:space="0" w:color="auto"/>
        <w:right w:val="none" w:sz="0" w:space="0" w:color="auto"/>
      </w:divBdr>
    </w:div>
    <w:div w:id="46413223">
      <w:marLeft w:val="0"/>
      <w:marRight w:val="0"/>
      <w:marTop w:val="0"/>
      <w:marBottom w:val="0"/>
      <w:divBdr>
        <w:top w:val="none" w:sz="0" w:space="0" w:color="auto"/>
        <w:left w:val="none" w:sz="0" w:space="0" w:color="auto"/>
        <w:bottom w:val="none" w:sz="0" w:space="0" w:color="auto"/>
        <w:right w:val="none" w:sz="0" w:space="0" w:color="auto"/>
      </w:divBdr>
    </w:div>
    <w:div w:id="46413225">
      <w:marLeft w:val="0"/>
      <w:marRight w:val="0"/>
      <w:marTop w:val="0"/>
      <w:marBottom w:val="0"/>
      <w:divBdr>
        <w:top w:val="none" w:sz="0" w:space="0" w:color="auto"/>
        <w:left w:val="none" w:sz="0" w:space="0" w:color="auto"/>
        <w:bottom w:val="none" w:sz="0" w:space="0" w:color="auto"/>
        <w:right w:val="none" w:sz="0" w:space="0" w:color="auto"/>
      </w:divBdr>
    </w:div>
    <w:div w:id="46413230">
      <w:marLeft w:val="0"/>
      <w:marRight w:val="0"/>
      <w:marTop w:val="0"/>
      <w:marBottom w:val="0"/>
      <w:divBdr>
        <w:top w:val="none" w:sz="0" w:space="0" w:color="auto"/>
        <w:left w:val="none" w:sz="0" w:space="0" w:color="auto"/>
        <w:bottom w:val="none" w:sz="0" w:space="0" w:color="auto"/>
        <w:right w:val="none" w:sz="0" w:space="0" w:color="auto"/>
      </w:divBdr>
    </w:div>
    <w:div w:id="46413233">
      <w:marLeft w:val="0"/>
      <w:marRight w:val="0"/>
      <w:marTop w:val="0"/>
      <w:marBottom w:val="0"/>
      <w:divBdr>
        <w:top w:val="none" w:sz="0" w:space="0" w:color="auto"/>
        <w:left w:val="none" w:sz="0" w:space="0" w:color="auto"/>
        <w:bottom w:val="none" w:sz="0" w:space="0" w:color="auto"/>
        <w:right w:val="none" w:sz="0" w:space="0" w:color="auto"/>
      </w:divBdr>
    </w:div>
    <w:div w:id="46413235">
      <w:marLeft w:val="0"/>
      <w:marRight w:val="0"/>
      <w:marTop w:val="0"/>
      <w:marBottom w:val="0"/>
      <w:divBdr>
        <w:top w:val="none" w:sz="0" w:space="0" w:color="auto"/>
        <w:left w:val="none" w:sz="0" w:space="0" w:color="auto"/>
        <w:bottom w:val="none" w:sz="0" w:space="0" w:color="auto"/>
        <w:right w:val="none" w:sz="0" w:space="0" w:color="auto"/>
      </w:divBdr>
    </w:div>
    <w:div w:id="46413236">
      <w:marLeft w:val="0"/>
      <w:marRight w:val="0"/>
      <w:marTop w:val="0"/>
      <w:marBottom w:val="0"/>
      <w:divBdr>
        <w:top w:val="none" w:sz="0" w:space="0" w:color="auto"/>
        <w:left w:val="none" w:sz="0" w:space="0" w:color="auto"/>
        <w:bottom w:val="none" w:sz="0" w:space="0" w:color="auto"/>
        <w:right w:val="none" w:sz="0" w:space="0" w:color="auto"/>
      </w:divBdr>
      <w:divsChild>
        <w:div w:id="46413254">
          <w:marLeft w:val="0"/>
          <w:marRight w:val="0"/>
          <w:marTop w:val="0"/>
          <w:marBottom w:val="0"/>
          <w:divBdr>
            <w:top w:val="none" w:sz="0" w:space="0" w:color="auto"/>
            <w:left w:val="none" w:sz="0" w:space="0" w:color="auto"/>
            <w:bottom w:val="none" w:sz="0" w:space="0" w:color="auto"/>
            <w:right w:val="none" w:sz="0" w:space="0" w:color="auto"/>
          </w:divBdr>
          <w:divsChild>
            <w:div w:id="46413238">
              <w:marLeft w:val="0"/>
              <w:marRight w:val="0"/>
              <w:marTop w:val="0"/>
              <w:marBottom w:val="0"/>
              <w:divBdr>
                <w:top w:val="none" w:sz="0" w:space="0" w:color="auto"/>
                <w:left w:val="none" w:sz="0" w:space="0" w:color="auto"/>
                <w:bottom w:val="none" w:sz="0" w:space="0" w:color="auto"/>
                <w:right w:val="none" w:sz="0" w:space="0" w:color="auto"/>
              </w:divBdr>
              <w:divsChild>
                <w:div w:id="464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3237">
      <w:marLeft w:val="0"/>
      <w:marRight w:val="0"/>
      <w:marTop w:val="0"/>
      <w:marBottom w:val="0"/>
      <w:divBdr>
        <w:top w:val="none" w:sz="0" w:space="0" w:color="auto"/>
        <w:left w:val="none" w:sz="0" w:space="0" w:color="auto"/>
        <w:bottom w:val="none" w:sz="0" w:space="0" w:color="auto"/>
        <w:right w:val="none" w:sz="0" w:space="0" w:color="auto"/>
      </w:divBdr>
    </w:div>
    <w:div w:id="46413239">
      <w:marLeft w:val="0"/>
      <w:marRight w:val="0"/>
      <w:marTop w:val="0"/>
      <w:marBottom w:val="0"/>
      <w:divBdr>
        <w:top w:val="none" w:sz="0" w:space="0" w:color="auto"/>
        <w:left w:val="none" w:sz="0" w:space="0" w:color="auto"/>
        <w:bottom w:val="none" w:sz="0" w:space="0" w:color="auto"/>
        <w:right w:val="none" w:sz="0" w:space="0" w:color="auto"/>
      </w:divBdr>
    </w:div>
    <w:div w:id="46413240">
      <w:marLeft w:val="0"/>
      <w:marRight w:val="0"/>
      <w:marTop w:val="0"/>
      <w:marBottom w:val="0"/>
      <w:divBdr>
        <w:top w:val="none" w:sz="0" w:space="0" w:color="auto"/>
        <w:left w:val="none" w:sz="0" w:space="0" w:color="auto"/>
        <w:bottom w:val="none" w:sz="0" w:space="0" w:color="auto"/>
        <w:right w:val="none" w:sz="0" w:space="0" w:color="auto"/>
      </w:divBdr>
    </w:div>
    <w:div w:id="46413241">
      <w:marLeft w:val="0"/>
      <w:marRight w:val="0"/>
      <w:marTop w:val="0"/>
      <w:marBottom w:val="0"/>
      <w:divBdr>
        <w:top w:val="none" w:sz="0" w:space="0" w:color="auto"/>
        <w:left w:val="none" w:sz="0" w:space="0" w:color="auto"/>
        <w:bottom w:val="none" w:sz="0" w:space="0" w:color="auto"/>
        <w:right w:val="none" w:sz="0" w:space="0" w:color="auto"/>
      </w:divBdr>
    </w:div>
    <w:div w:id="46413243">
      <w:marLeft w:val="0"/>
      <w:marRight w:val="0"/>
      <w:marTop w:val="0"/>
      <w:marBottom w:val="0"/>
      <w:divBdr>
        <w:top w:val="none" w:sz="0" w:space="0" w:color="auto"/>
        <w:left w:val="none" w:sz="0" w:space="0" w:color="auto"/>
        <w:bottom w:val="none" w:sz="0" w:space="0" w:color="auto"/>
        <w:right w:val="none" w:sz="0" w:space="0" w:color="auto"/>
      </w:divBdr>
    </w:div>
    <w:div w:id="46413244">
      <w:marLeft w:val="0"/>
      <w:marRight w:val="0"/>
      <w:marTop w:val="0"/>
      <w:marBottom w:val="0"/>
      <w:divBdr>
        <w:top w:val="none" w:sz="0" w:space="0" w:color="auto"/>
        <w:left w:val="none" w:sz="0" w:space="0" w:color="auto"/>
        <w:bottom w:val="none" w:sz="0" w:space="0" w:color="auto"/>
        <w:right w:val="none" w:sz="0" w:space="0" w:color="auto"/>
      </w:divBdr>
    </w:div>
    <w:div w:id="46413249">
      <w:marLeft w:val="0"/>
      <w:marRight w:val="0"/>
      <w:marTop w:val="0"/>
      <w:marBottom w:val="0"/>
      <w:divBdr>
        <w:top w:val="none" w:sz="0" w:space="0" w:color="auto"/>
        <w:left w:val="none" w:sz="0" w:space="0" w:color="auto"/>
        <w:bottom w:val="none" w:sz="0" w:space="0" w:color="auto"/>
        <w:right w:val="none" w:sz="0" w:space="0" w:color="auto"/>
      </w:divBdr>
    </w:div>
    <w:div w:id="46413250">
      <w:marLeft w:val="0"/>
      <w:marRight w:val="0"/>
      <w:marTop w:val="0"/>
      <w:marBottom w:val="0"/>
      <w:divBdr>
        <w:top w:val="none" w:sz="0" w:space="0" w:color="auto"/>
        <w:left w:val="none" w:sz="0" w:space="0" w:color="auto"/>
        <w:bottom w:val="none" w:sz="0" w:space="0" w:color="auto"/>
        <w:right w:val="none" w:sz="0" w:space="0" w:color="auto"/>
      </w:divBdr>
    </w:div>
    <w:div w:id="46413251">
      <w:marLeft w:val="0"/>
      <w:marRight w:val="0"/>
      <w:marTop w:val="0"/>
      <w:marBottom w:val="0"/>
      <w:divBdr>
        <w:top w:val="none" w:sz="0" w:space="0" w:color="auto"/>
        <w:left w:val="none" w:sz="0" w:space="0" w:color="auto"/>
        <w:bottom w:val="none" w:sz="0" w:space="0" w:color="auto"/>
        <w:right w:val="none" w:sz="0" w:space="0" w:color="auto"/>
      </w:divBdr>
      <w:divsChild>
        <w:div w:id="46413232">
          <w:marLeft w:val="0"/>
          <w:marRight w:val="0"/>
          <w:marTop w:val="0"/>
          <w:marBottom w:val="0"/>
          <w:divBdr>
            <w:top w:val="none" w:sz="0" w:space="0" w:color="auto"/>
            <w:left w:val="none" w:sz="0" w:space="0" w:color="auto"/>
            <w:bottom w:val="none" w:sz="0" w:space="0" w:color="auto"/>
            <w:right w:val="none" w:sz="0" w:space="0" w:color="auto"/>
          </w:divBdr>
          <w:divsChild>
            <w:div w:id="464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252">
      <w:marLeft w:val="0"/>
      <w:marRight w:val="0"/>
      <w:marTop w:val="0"/>
      <w:marBottom w:val="0"/>
      <w:divBdr>
        <w:top w:val="none" w:sz="0" w:space="0" w:color="auto"/>
        <w:left w:val="none" w:sz="0" w:space="0" w:color="auto"/>
        <w:bottom w:val="none" w:sz="0" w:space="0" w:color="auto"/>
        <w:right w:val="none" w:sz="0" w:space="0" w:color="auto"/>
      </w:divBdr>
    </w:div>
    <w:div w:id="46413253">
      <w:marLeft w:val="0"/>
      <w:marRight w:val="0"/>
      <w:marTop w:val="0"/>
      <w:marBottom w:val="0"/>
      <w:divBdr>
        <w:top w:val="none" w:sz="0" w:space="0" w:color="auto"/>
        <w:left w:val="none" w:sz="0" w:space="0" w:color="auto"/>
        <w:bottom w:val="none" w:sz="0" w:space="0" w:color="auto"/>
        <w:right w:val="none" w:sz="0" w:space="0" w:color="auto"/>
      </w:divBdr>
    </w:div>
    <w:div w:id="46413255">
      <w:marLeft w:val="0"/>
      <w:marRight w:val="0"/>
      <w:marTop w:val="0"/>
      <w:marBottom w:val="0"/>
      <w:divBdr>
        <w:top w:val="none" w:sz="0" w:space="0" w:color="auto"/>
        <w:left w:val="none" w:sz="0" w:space="0" w:color="auto"/>
        <w:bottom w:val="none" w:sz="0" w:space="0" w:color="auto"/>
        <w:right w:val="none" w:sz="0" w:space="0" w:color="auto"/>
      </w:divBdr>
    </w:div>
    <w:div w:id="46413256">
      <w:marLeft w:val="0"/>
      <w:marRight w:val="0"/>
      <w:marTop w:val="0"/>
      <w:marBottom w:val="0"/>
      <w:divBdr>
        <w:top w:val="none" w:sz="0" w:space="0" w:color="auto"/>
        <w:left w:val="none" w:sz="0" w:space="0" w:color="auto"/>
        <w:bottom w:val="none" w:sz="0" w:space="0" w:color="auto"/>
        <w:right w:val="none" w:sz="0" w:space="0" w:color="auto"/>
      </w:divBdr>
      <w:divsChild>
        <w:div w:id="46413231">
          <w:marLeft w:val="0"/>
          <w:marRight w:val="0"/>
          <w:marTop w:val="0"/>
          <w:marBottom w:val="0"/>
          <w:divBdr>
            <w:top w:val="none" w:sz="0" w:space="0" w:color="auto"/>
            <w:left w:val="none" w:sz="0" w:space="0" w:color="auto"/>
            <w:bottom w:val="none" w:sz="0" w:space="0" w:color="auto"/>
            <w:right w:val="none" w:sz="0" w:space="0" w:color="auto"/>
          </w:divBdr>
          <w:divsChild>
            <w:div w:id="46413242">
              <w:marLeft w:val="0"/>
              <w:marRight w:val="0"/>
              <w:marTop w:val="0"/>
              <w:marBottom w:val="0"/>
              <w:divBdr>
                <w:top w:val="none" w:sz="0" w:space="0" w:color="auto"/>
                <w:left w:val="none" w:sz="0" w:space="0" w:color="auto"/>
                <w:bottom w:val="none" w:sz="0" w:space="0" w:color="auto"/>
                <w:right w:val="none" w:sz="0" w:space="0" w:color="auto"/>
              </w:divBdr>
              <w:divsChild>
                <w:div w:id="46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3258">
      <w:marLeft w:val="0"/>
      <w:marRight w:val="0"/>
      <w:marTop w:val="0"/>
      <w:marBottom w:val="0"/>
      <w:divBdr>
        <w:top w:val="none" w:sz="0" w:space="0" w:color="auto"/>
        <w:left w:val="none" w:sz="0" w:space="0" w:color="auto"/>
        <w:bottom w:val="none" w:sz="0" w:space="0" w:color="auto"/>
        <w:right w:val="none" w:sz="0" w:space="0" w:color="auto"/>
      </w:divBdr>
    </w:div>
    <w:div w:id="46413259">
      <w:marLeft w:val="0"/>
      <w:marRight w:val="0"/>
      <w:marTop w:val="0"/>
      <w:marBottom w:val="0"/>
      <w:divBdr>
        <w:top w:val="none" w:sz="0" w:space="0" w:color="auto"/>
        <w:left w:val="none" w:sz="0" w:space="0" w:color="auto"/>
        <w:bottom w:val="none" w:sz="0" w:space="0" w:color="auto"/>
        <w:right w:val="none" w:sz="0" w:space="0" w:color="auto"/>
      </w:divBdr>
    </w:div>
    <w:div w:id="46413260">
      <w:marLeft w:val="0"/>
      <w:marRight w:val="0"/>
      <w:marTop w:val="0"/>
      <w:marBottom w:val="0"/>
      <w:divBdr>
        <w:top w:val="none" w:sz="0" w:space="0" w:color="auto"/>
        <w:left w:val="none" w:sz="0" w:space="0" w:color="auto"/>
        <w:bottom w:val="none" w:sz="0" w:space="0" w:color="auto"/>
        <w:right w:val="none" w:sz="0" w:space="0" w:color="auto"/>
      </w:divBdr>
      <w:divsChild>
        <w:div w:id="46413248">
          <w:marLeft w:val="0"/>
          <w:marRight w:val="0"/>
          <w:marTop w:val="0"/>
          <w:marBottom w:val="0"/>
          <w:divBdr>
            <w:top w:val="none" w:sz="0" w:space="0" w:color="auto"/>
            <w:left w:val="none" w:sz="0" w:space="0" w:color="auto"/>
            <w:bottom w:val="none" w:sz="0" w:space="0" w:color="auto"/>
            <w:right w:val="none" w:sz="0" w:space="0" w:color="auto"/>
          </w:divBdr>
          <w:divsChild>
            <w:div w:id="46413206">
              <w:marLeft w:val="0"/>
              <w:marRight w:val="0"/>
              <w:marTop w:val="0"/>
              <w:marBottom w:val="0"/>
              <w:divBdr>
                <w:top w:val="none" w:sz="0" w:space="0" w:color="auto"/>
                <w:left w:val="none" w:sz="0" w:space="0" w:color="auto"/>
                <w:bottom w:val="none" w:sz="0" w:space="0" w:color="auto"/>
                <w:right w:val="none" w:sz="0" w:space="0" w:color="auto"/>
              </w:divBdr>
              <w:divsChild>
                <w:div w:id="46413264">
                  <w:marLeft w:val="0"/>
                  <w:marRight w:val="0"/>
                  <w:marTop w:val="0"/>
                  <w:marBottom w:val="0"/>
                  <w:divBdr>
                    <w:top w:val="none" w:sz="0" w:space="0" w:color="auto"/>
                    <w:left w:val="none" w:sz="0" w:space="0" w:color="auto"/>
                    <w:bottom w:val="none" w:sz="0" w:space="0" w:color="auto"/>
                    <w:right w:val="none" w:sz="0" w:space="0" w:color="auto"/>
                  </w:divBdr>
                  <w:divsChild>
                    <w:div w:id="46413207">
                      <w:marLeft w:val="0"/>
                      <w:marRight w:val="0"/>
                      <w:marTop w:val="0"/>
                      <w:marBottom w:val="0"/>
                      <w:divBdr>
                        <w:top w:val="none" w:sz="0" w:space="0" w:color="auto"/>
                        <w:left w:val="none" w:sz="0" w:space="0" w:color="auto"/>
                        <w:bottom w:val="none" w:sz="0" w:space="0" w:color="auto"/>
                        <w:right w:val="none" w:sz="0" w:space="0" w:color="auto"/>
                      </w:divBdr>
                      <w:divsChild>
                        <w:div w:id="464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3261">
      <w:marLeft w:val="0"/>
      <w:marRight w:val="0"/>
      <w:marTop w:val="0"/>
      <w:marBottom w:val="0"/>
      <w:divBdr>
        <w:top w:val="none" w:sz="0" w:space="0" w:color="auto"/>
        <w:left w:val="none" w:sz="0" w:space="0" w:color="auto"/>
        <w:bottom w:val="none" w:sz="0" w:space="0" w:color="auto"/>
        <w:right w:val="none" w:sz="0" w:space="0" w:color="auto"/>
      </w:divBdr>
      <w:divsChild>
        <w:div w:id="46413222">
          <w:marLeft w:val="0"/>
          <w:marRight w:val="0"/>
          <w:marTop w:val="0"/>
          <w:marBottom w:val="0"/>
          <w:divBdr>
            <w:top w:val="none" w:sz="0" w:space="0" w:color="auto"/>
            <w:left w:val="none" w:sz="0" w:space="0" w:color="auto"/>
            <w:bottom w:val="none" w:sz="0" w:space="0" w:color="auto"/>
            <w:right w:val="none" w:sz="0" w:space="0" w:color="auto"/>
          </w:divBdr>
          <w:divsChild>
            <w:div w:id="46413218">
              <w:marLeft w:val="0"/>
              <w:marRight w:val="0"/>
              <w:marTop w:val="0"/>
              <w:marBottom w:val="0"/>
              <w:divBdr>
                <w:top w:val="none" w:sz="0" w:space="0" w:color="auto"/>
                <w:left w:val="none" w:sz="0" w:space="0" w:color="auto"/>
                <w:bottom w:val="none" w:sz="0" w:space="0" w:color="auto"/>
                <w:right w:val="none" w:sz="0" w:space="0" w:color="auto"/>
              </w:divBdr>
              <w:divsChild>
                <w:div w:id="464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3262">
      <w:marLeft w:val="0"/>
      <w:marRight w:val="0"/>
      <w:marTop w:val="0"/>
      <w:marBottom w:val="0"/>
      <w:divBdr>
        <w:top w:val="none" w:sz="0" w:space="0" w:color="auto"/>
        <w:left w:val="none" w:sz="0" w:space="0" w:color="auto"/>
        <w:bottom w:val="none" w:sz="0" w:space="0" w:color="auto"/>
        <w:right w:val="none" w:sz="0" w:space="0" w:color="auto"/>
      </w:divBdr>
    </w:div>
    <w:div w:id="46413263">
      <w:marLeft w:val="0"/>
      <w:marRight w:val="0"/>
      <w:marTop w:val="0"/>
      <w:marBottom w:val="0"/>
      <w:divBdr>
        <w:top w:val="none" w:sz="0" w:space="0" w:color="auto"/>
        <w:left w:val="none" w:sz="0" w:space="0" w:color="auto"/>
        <w:bottom w:val="none" w:sz="0" w:space="0" w:color="auto"/>
        <w:right w:val="none" w:sz="0" w:space="0" w:color="auto"/>
      </w:divBdr>
      <w:divsChild>
        <w:div w:id="46413216">
          <w:marLeft w:val="0"/>
          <w:marRight w:val="0"/>
          <w:marTop w:val="0"/>
          <w:marBottom w:val="0"/>
          <w:divBdr>
            <w:top w:val="none" w:sz="0" w:space="0" w:color="auto"/>
            <w:left w:val="none" w:sz="0" w:space="0" w:color="auto"/>
            <w:bottom w:val="none" w:sz="0" w:space="0" w:color="auto"/>
            <w:right w:val="none" w:sz="0" w:space="0" w:color="auto"/>
          </w:divBdr>
          <w:divsChild>
            <w:div w:id="46413197">
              <w:marLeft w:val="0"/>
              <w:marRight w:val="0"/>
              <w:marTop w:val="0"/>
              <w:marBottom w:val="0"/>
              <w:divBdr>
                <w:top w:val="none" w:sz="0" w:space="0" w:color="auto"/>
                <w:left w:val="none" w:sz="0" w:space="0" w:color="auto"/>
                <w:bottom w:val="none" w:sz="0" w:space="0" w:color="auto"/>
                <w:right w:val="none" w:sz="0" w:space="0" w:color="auto"/>
              </w:divBdr>
              <w:divsChild>
                <w:div w:id="464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32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C58F7-19C5-4C5B-946C-1C56014E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4297</Words>
  <Characters>25557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29795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s-poortenaar</dc:creator>
  <cp:keywords/>
  <dc:description/>
  <cp:lastModifiedBy>s-poortenaar</cp:lastModifiedBy>
  <cp:revision>2</cp:revision>
  <cp:lastPrinted>2012-07-06T06:51:00Z</cp:lastPrinted>
  <dcterms:created xsi:type="dcterms:W3CDTF">2012-07-11T23:59:00Z</dcterms:created>
  <dcterms:modified xsi:type="dcterms:W3CDTF">2012-07-11T23:59:00Z</dcterms:modified>
</cp:coreProperties>
</file>