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AE" w:rsidRPr="00DB44DC" w:rsidRDefault="007661A0" w:rsidP="00126BC8">
      <w:pPr>
        <w:jc w:val="both"/>
        <w:rPr>
          <w:rFonts w:cs="Arial"/>
        </w:rPr>
      </w:pPr>
      <w:r w:rsidRPr="007661A0">
        <w:rPr>
          <w:rFonts w:cs="Arial"/>
          <w:noProof/>
          <w:lang w:val="en-US"/>
        </w:rPr>
        <w:pict>
          <v:shapetype id="_x0000_t202" coordsize="21600,21600" o:spt="202" path="m,l,21600r21600,l21600,xe">
            <v:stroke joinstyle="miter"/>
            <v:path gradientshapeok="t" o:connecttype="rect"/>
          </v:shapetype>
          <v:shape id="_x0000_s1026" type="#_x0000_t202" style="position:absolute;left:0;text-align:left;margin-left:-13.95pt;margin-top:15.9pt;width:491.4pt;height:295.05pt;z-index:251661312" filled="f" stroked="f">
            <v:textbox style="mso-next-textbox:#_x0000_s1026">
              <w:txbxContent>
                <w:p w:rsidR="00DB5AF8" w:rsidRDefault="00DB5AF8" w:rsidP="00D067AE">
                  <w:pPr>
                    <w:pStyle w:val="text"/>
                    <w:tabs>
                      <w:tab w:val="clear" w:pos="4320"/>
                      <w:tab w:val="clear" w:pos="8640"/>
                      <w:tab w:val="center" w:pos="13875"/>
                      <w:tab w:val="right" w:pos="27750"/>
                    </w:tabs>
                    <w:spacing w:before="0"/>
                    <w:rPr>
                      <w:rFonts w:ascii="Arial" w:hAnsi="Arial" w:cs="Arial"/>
                      <w:color w:val="FFFFFF"/>
                      <w:sz w:val="103"/>
                      <w:szCs w:val="103"/>
                    </w:rPr>
                  </w:pPr>
                  <w:r>
                    <w:rPr>
                      <w:rFonts w:ascii="Arial" w:hAnsi="Arial" w:cs="Arial"/>
                      <w:color w:val="FFFFFF"/>
                      <w:sz w:val="103"/>
                      <w:szCs w:val="103"/>
                    </w:rPr>
                    <w:t xml:space="preserve">Glenorchy to Hobart CBD Transit Corridor </w:t>
                  </w:r>
                </w:p>
                <w:p w:rsidR="00DB5AF8" w:rsidRPr="000A0284" w:rsidRDefault="00DB5AF8" w:rsidP="00D067AE">
                  <w:pPr>
                    <w:pStyle w:val="text"/>
                    <w:tabs>
                      <w:tab w:val="clear" w:pos="4320"/>
                      <w:tab w:val="clear" w:pos="8640"/>
                      <w:tab w:val="center" w:pos="13875"/>
                      <w:tab w:val="right" w:pos="27750"/>
                    </w:tabs>
                    <w:spacing w:before="0"/>
                    <w:rPr>
                      <w:rFonts w:ascii="Arial" w:hAnsi="Arial" w:cs="Arial"/>
                      <w:color w:val="FFFFFF"/>
                      <w:sz w:val="40"/>
                      <w:szCs w:val="40"/>
                    </w:rPr>
                  </w:pPr>
                  <w:r>
                    <w:rPr>
                      <w:rFonts w:ascii="Arial" w:hAnsi="Arial" w:cs="Arial"/>
                      <w:color w:val="FFFFFF"/>
                      <w:sz w:val="40"/>
                      <w:szCs w:val="40"/>
                    </w:rPr>
                    <w:t>Transit Corridor Assessment Report – Stage one</w:t>
                  </w:r>
                </w:p>
                <w:p w:rsidR="00DB5AF8" w:rsidRDefault="00DB5AF8" w:rsidP="00D067AE">
                  <w:pPr>
                    <w:pStyle w:val="text"/>
                    <w:tabs>
                      <w:tab w:val="clear" w:pos="4320"/>
                      <w:tab w:val="clear" w:pos="8640"/>
                      <w:tab w:val="center" w:pos="13875"/>
                      <w:tab w:val="right" w:pos="27750"/>
                    </w:tabs>
                    <w:spacing w:before="0"/>
                    <w:rPr>
                      <w:rFonts w:ascii="Arial" w:hAnsi="Arial" w:cs="Arial"/>
                      <w:color w:val="FFFFFF"/>
                      <w:sz w:val="51"/>
                      <w:szCs w:val="51"/>
                    </w:rPr>
                  </w:pPr>
                </w:p>
                <w:p w:rsidR="00DB5AF8" w:rsidRPr="00A9611B" w:rsidRDefault="00DB5AF8" w:rsidP="00D067AE">
                  <w:pPr>
                    <w:pStyle w:val="text"/>
                    <w:tabs>
                      <w:tab w:val="clear" w:pos="4320"/>
                      <w:tab w:val="clear" w:pos="8640"/>
                      <w:tab w:val="center" w:pos="13875"/>
                      <w:tab w:val="right" w:pos="27750"/>
                    </w:tabs>
                    <w:spacing w:before="0"/>
                    <w:rPr>
                      <w:rFonts w:ascii="Arial" w:hAnsi="Arial" w:cs="Arial"/>
                      <w:color w:val="FFFFFF"/>
                      <w:sz w:val="51"/>
                      <w:szCs w:val="51"/>
                    </w:rPr>
                  </w:pPr>
                  <w:r>
                    <w:rPr>
                      <w:rFonts w:ascii="Arial" w:hAnsi="Arial" w:cs="Arial"/>
                      <w:color w:val="FFFFFF"/>
                      <w:sz w:val="51"/>
                      <w:szCs w:val="51"/>
                    </w:rPr>
                    <w:t>Problem identification – Metropolitan Level</w:t>
                  </w:r>
                </w:p>
              </w:txbxContent>
            </v:textbox>
          </v:shape>
        </w:pict>
      </w:r>
      <w:r w:rsidR="00DC148D" w:rsidRPr="00DC148D">
        <w:rPr>
          <w:rFonts w:cs="Arial"/>
          <w:noProof/>
          <w:lang w:eastAsia="en-AU"/>
        </w:rPr>
        <w:drawing>
          <wp:anchor distT="0" distB="0" distL="114300" distR="114300" simplePos="0" relativeHeight="251686912" behindDoc="1" locked="0" layoutInCell="1" allowOverlap="1">
            <wp:simplePos x="0" y="0"/>
            <wp:positionH relativeFrom="page">
              <wp:posOffset>-118973</wp:posOffset>
            </wp:positionH>
            <wp:positionV relativeFrom="page">
              <wp:posOffset>-146649</wp:posOffset>
            </wp:positionV>
            <wp:extent cx="7675713" cy="10834777"/>
            <wp:effectExtent l="19050" t="0" r="0" b="0"/>
            <wp:wrapNone/>
            <wp:docPr id="4" name="Picture 10" descr="A3f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3fp6"/>
                    <pic:cNvPicPr>
                      <a:picLocks noChangeAspect="1" noChangeArrowheads="1"/>
                    </pic:cNvPicPr>
                  </pic:nvPicPr>
                  <pic:blipFill>
                    <a:blip r:embed="rId9" cstate="print"/>
                    <a:srcRect/>
                    <a:stretch>
                      <a:fillRect/>
                    </a:stretch>
                  </pic:blipFill>
                  <pic:spPr bwMode="auto">
                    <a:xfrm>
                      <a:off x="0" y="0"/>
                      <a:ext cx="7677653" cy="10836323"/>
                    </a:xfrm>
                    <a:prstGeom prst="rect">
                      <a:avLst/>
                    </a:prstGeom>
                    <a:noFill/>
                    <a:ln w="9525">
                      <a:noFill/>
                      <a:miter lim="800000"/>
                      <a:headEnd/>
                      <a:tailEnd/>
                    </a:ln>
                  </pic:spPr>
                </pic:pic>
              </a:graphicData>
            </a:graphic>
          </wp:anchor>
        </w:drawing>
      </w:r>
    </w:p>
    <w:p w:rsidR="00D067AE" w:rsidRPr="00DB44DC" w:rsidRDefault="00D067AE" w:rsidP="00126BC8">
      <w:pPr>
        <w:jc w:val="both"/>
        <w:rPr>
          <w:rFonts w:cs="Arial"/>
        </w:rPr>
      </w:pPr>
    </w:p>
    <w:p w:rsidR="00D067AE" w:rsidRPr="00DB44DC" w:rsidRDefault="007661A0" w:rsidP="00126BC8">
      <w:pPr>
        <w:jc w:val="both"/>
        <w:rPr>
          <w:rFonts w:cs="Arial"/>
        </w:rPr>
      </w:pPr>
      <w:r w:rsidRPr="007661A0">
        <w:rPr>
          <w:rFonts w:cs="Arial"/>
          <w:noProof/>
          <w:lang w:val="en-US" w:eastAsia="zh-TW"/>
        </w:rPr>
        <w:pict>
          <v:shape id="_x0000_s1029" type="#_x0000_t202" style="position:absolute;left:0;text-align:left;margin-left:-10.2pt;margin-top:478.65pt;width:180.45pt;height:38.35pt;z-index:251684864;mso-width-percent:400;mso-height-percent:200;mso-width-percent:400;mso-height-percent:200;mso-width-relative:margin;mso-height-relative:margin" filled="f" stroked="f">
            <v:textbox style="mso-fit-shape-to-text:t">
              <w:txbxContent>
                <w:p w:rsidR="00DB5AF8" w:rsidRPr="003145A9" w:rsidRDefault="00B637D5">
                  <w:pPr>
                    <w:rPr>
                      <w:b/>
                      <w:color w:val="FFFFFF" w:themeColor="background1"/>
                      <w:sz w:val="32"/>
                      <w:szCs w:val="32"/>
                    </w:rPr>
                  </w:pPr>
                  <w:r>
                    <w:rPr>
                      <w:b/>
                      <w:color w:val="FFFFFF" w:themeColor="background1"/>
                      <w:sz w:val="32"/>
                      <w:szCs w:val="32"/>
                    </w:rPr>
                    <w:t>J</w:t>
                  </w:r>
                  <w:r w:rsidR="000E6976">
                    <w:rPr>
                      <w:b/>
                      <w:color w:val="FFFFFF" w:themeColor="background1"/>
                      <w:sz w:val="32"/>
                      <w:szCs w:val="32"/>
                    </w:rPr>
                    <w:t>uly</w:t>
                  </w:r>
                  <w:r w:rsidR="00DB5AF8">
                    <w:rPr>
                      <w:b/>
                      <w:color w:val="FFFFFF" w:themeColor="background1"/>
                      <w:sz w:val="32"/>
                      <w:szCs w:val="32"/>
                    </w:rPr>
                    <w:t xml:space="preserve"> 2012</w:t>
                  </w:r>
                </w:p>
              </w:txbxContent>
            </v:textbox>
          </v:shape>
        </w:pict>
      </w:r>
      <w:r w:rsidRPr="007661A0">
        <w:rPr>
          <w:rFonts w:cs="Arial"/>
          <w:noProof/>
          <w:lang w:val="en-US"/>
        </w:rPr>
        <w:pict>
          <v:shape id="_x0000_s1027" type="#_x0000_t202" style="position:absolute;left:0;text-align:left;margin-left:-58.95pt;margin-top:652.65pt;width:297pt;height:51.45pt;z-index:251662336" filled="f" stroked="f">
            <v:textbox style="mso-next-textbox:#_x0000_s1027">
              <w:txbxContent>
                <w:p w:rsidR="00DB5AF8" w:rsidRDefault="00DB5AF8" w:rsidP="00D067AE">
                  <w:pPr>
                    <w:pStyle w:val="Noparagraphstyle"/>
                    <w:rPr>
                      <w:rFonts w:ascii="GillSans-Light" w:hAnsi="GillSans-Light"/>
                      <w:spacing w:val="31"/>
                      <w:sz w:val="31"/>
                      <w:szCs w:val="31"/>
                    </w:rPr>
                  </w:pPr>
                  <w:r>
                    <w:rPr>
                      <w:rFonts w:ascii="GillSans-Light" w:hAnsi="GillSans-Light"/>
                      <w:spacing w:val="31"/>
                      <w:sz w:val="31"/>
                      <w:szCs w:val="31"/>
                    </w:rPr>
                    <w:t>Department of Infrastructure, Energy and Resources</w:t>
                  </w:r>
                </w:p>
              </w:txbxContent>
            </v:textbox>
          </v:shape>
        </w:pict>
      </w:r>
      <w:r w:rsidR="00D067AE" w:rsidRPr="00DB44DC">
        <w:rPr>
          <w:rFonts w:cs="Arial"/>
        </w:rPr>
        <w:br w:type="page"/>
      </w:r>
    </w:p>
    <w:p w:rsidR="004264CA" w:rsidRPr="000D2CE5" w:rsidRDefault="004264CA" w:rsidP="000D2CE5">
      <w:pPr>
        <w:rPr>
          <w:b/>
          <w:color w:val="4F81BD" w:themeColor="accent1"/>
          <w:sz w:val="32"/>
          <w:szCs w:val="32"/>
        </w:rPr>
      </w:pPr>
      <w:r w:rsidRPr="000D2CE5">
        <w:rPr>
          <w:b/>
          <w:color w:val="4F81BD" w:themeColor="accent1"/>
          <w:sz w:val="32"/>
          <w:szCs w:val="32"/>
        </w:rPr>
        <w:lastRenderedPageBreak/>
        <w:t>CONTENTS</w:t>
      </w:r>
    </w:p>
    <w:sdt>
      <w:sdtPr>
        <w:rPr>
          <w:rFonts w:ascii="Arial" w:eastAsiaTheme="minorHAnsi" w:hAnsi="Arial" w:cstheme="minorBidi"/>
          <w:b w:val="0"/>
          <w:bCs w:val="0"/>
          <w:color w:val="auto"/>
          <w:sz w:val="22"/>
          <w:szCs w:val="22"/>
          <w:lang w:val="en-AU"/>
        </w:rPr>
        <w:id w:val="4429360"/>
        <w:docPartObj>
          <w:docPartGallery w:val="Table of Contents"/>
          <w:docPartUnique/>
        </w:docPartObj>
      </w:sdtPr>
      <w:sdtContent>
        <w:p w:rsidR="000D2CE5" w:rsidRDefault="000D2CE5">
          <w:pPr>
            <w:pStyle w:val="TOCHeading"/>
          </w:pPr>
        </w:p>
        <w:p w:rsidR="00B637D5" w:rsidRDefault="007661A0">
          <w:pPr>
            <w:pStyle w:val="TOC1"/>
            <w:tabs>
              <w:tab w:val="left" w:pos="440"/>
              <w:tab w:val="right" w:leader="dot" w:pos="9016"/>
            </w:tabs>
            <w:rPr>
              <w:rFonts w:asciiTheme="minorHAnsi" w:eastAsiaTheme="minorEastAsia" w:hAnsiTheme="minorHAnsi"/>
              <w:noProof/>
              <w:lang w:eastAsia="en-AU"/>
            </w:rPr>
          </w:pPr>
          <w:r>
            <w:fldChar w:fldCharType="begin"/>
          </w:r>
          <w:r w:rsidR="000D2CE5">
            <w:instrText xml:space="preserve"> TOC \o "1-3" \h \z \u </w:instrText>
          </w:r>
          <w:r>
            <w:fldChar w:fldCharType="separate"/>
          </w:r>
          <w:hyperlink w:anchor="_Toc326833279" w:history="1">
            <w:r w:rsidR="00B637D5" w:rsidRPr="003A2A51">
              <w:rPr>
                <w:rStyle w:val="Hyperlink"/>
                <w:noProof/>
              </w:rPr>
              <w:t>1</w:t>
            </w:r>
            <w:r w:rsidR="00B637D5">
              <w:rPr>
                <w:rFonts w:asciiTheme="minorHAnsi" w:eastAsiaTheme="minorEastAsia" w:hAnsiTheme="minorHAnsi"/>
                <w:noProof/>
                <w:lang w:eastAsia="en-AU"/>
              </w:rPr>
              <w:tab/>
            </w:r>
            <w:r w:rsidR="00B637D5" w:rsidRPr="003A2A51">
              <w:rPr>
                <w:rStyle w:val="Hyperlink"/>
                <w:noProof/>
              </w:rPr>
              <w:t>Key points</w:t>
            </w:r>
            <w:r w:rsidR="00B637D5">
              <w:rPr>
                <w:noProof/>
                <w:webHidden/>
              </w:rPr>
              <w:tab/>
            </w:r>
            <w:r>
              <w:rPr>
                <w:noProof/>
                <w:webHidden/>
              </w:rPr>
              <w:fldChar w:fldCharType="begin"/>
            </w:r>
            <w:r w:rsidR="00B637D5">
              <w:rPr>
                <w:noProof/>
                <w:webHidden/>
              </w:rPr>
              <w:instrText xml:space="preserve"> PAGEREF _Toc326833279 \h </w:instrText>
            </w:r>
            <w:r>
              <w:rPr>
                <w:noProof/>
                <w:webHidden/>
              </w:rPr>
            </w:r>
            <w:r>
              <w:rPr>
                <w:noProof/>
                <w:webHidden/>
              </w:rPr>
              <w:fldChar w:fldCharType="separate"/>
            </w:r>
            <w:r w:rsidR="006E06A2">
              <w:rPr>
                <w:noProof/>
                <w:webHidden/>
              </w:rPr>
              <w:t>3</w:t>
            </w:r>
            <w:r>
              <w:rPr>
                <w:noProof/>
                <w:webHidden/>
              </w:rPr>
              <w:fldChar w:fldCharType="end"/>
            </w:r>
          </w:hyperlink>
        </w:p>
        <w:p w:rsidR="00B637D5" w:rsidRDefault="007661A0">
          <w:pPr>
            <w:pStyle w:val="TOC1"/>
            <w:tabs>
              <w:tab w:val="left" w:pos="440"/>
              <w:tab w:val="right" w:leader="dot" w:pos="9016"/>
            </w:tabs>
            <w:rPr>
              <w:rFonts w:asciiTheme="minorHAnsi" w:eastAsiaTheme="minorEastAsia" w:hAnsiTheme="minorHAnsi"/>
              <w:noProof/>
              <w:lang w:eastAsia="en-AU"/>
            </w:rPr>
          </w:pPr>
          <w:hyperlink w:anchor="_Toc326833280" w:history="1">
            <w:r w:rsidR="00B637D5" w:rsidRPr="003A2A51">
              <w:rPr>
                <w:rStyle w:val="Hyperlink"/>
                <w:noProof/>
              </w:rPr>
              <w:t>2</w:t>
            </w:r>
            <w:r w:rsidR="00B637D5">
              <w:rPr>
                <w:rFonts w:asciiTheme="minorHAnsi" w:eastAsiaTheme="minorEastAsia" w:hAnsiTheme="minorHAnsi"/>
                <w:noProof/>
                <w:lang w:eastAsia="en-AU"/>
              </w:rPr>
              <w:tab/>
            </w:r>
            <w:r w:rsidR="00B637D5" w:rsidRPr="003A2A51">
              <w:rPr>
                <w:rStyle w:val="Hyperlink"/>
                <w:noProof/>
              </w:rPr>
              <w:t>Context</w:t>
            </w:r>
            <w:r w:rsidR="00B637D5">
              <w:rPr>
                <w:noProof/>
                <w:webHidden/>
              </w:rPr>
              <w:tab/>
            </w:r>
            <w:r>
              <w:rPr>
                <w:noProof/>
                <w:webHidden/>
              </w:rPr>
              <w:fldChar w:fldCharType="begin"/>
            </w:r>
            <w:r w:rsidR="00B637D5">
              <w:rPr>
                <w:noProof/>
                <w:webHidden/>
              </w:rPr>
              <w:instrText xml:space="preserve"> PAGEREF _Toc326833280 \h </w:instrText>
            </w:r>
            <w:r>
              <w:rPr>
                <w:noProof/>
                <w:webHidden/>
              </w:rPr>
            </w:r>
            <w:r>
              <w:rPr>
                <w:noProof/>
                <w:webHidden/>
              </w:rPr>
              <w:fldChar w:fldCharType="separate"/>
            </w:r>
            <w:r w:rsidR="006E06A2">
              <w:rPr>
                <w:noProof/>
                <w:webHidden/>
              </w:rPr>
              <w:t>5</w:t>
            </w:r>
            <w:r>
              <w:rPr>
                <w:noProof/>
                <w:webHidden/>
              </w:rPr>
              <w:fldChar w:fldCharType="end"/>
            </w:r>
          </w:hyperlink>
        </w:p>
        <w:p w:rsidR="00B637D5" w:rsidRDefault="007661A0">
          <w:pPr>
            <w:pStyle w:val="TOC1"/>
            <w:tabs>
              <w:tab w:val="left" w:pos="440"/>
              <w:tab w:val="right" w:leader="dot" w:pos="9016"/>
            </w:tabs>
            <w:rPr>
              <w:rFonts w:asciiTheme="minorHAnsi" w:eastAsiaTheme="minorEastAsia" w:hAnsiTheme="minorHAnsi"/>
              <w:noProof/>
              <w:lang w:eastAsia="en-AU"/>
            </w:rPr>
          </w:pPr>
          <w:hyperlink w:anchor="_Toc326833281" w:history="1">
            <w:r w:rsidR="00B637D5" w:rsidRPr="003A2A51">
              <w:rPr>
                <w:rStyle w:val="Hyperlink"/>
                <w:noProof/>
                <w:lang w:val="en-GB"/>
              </w:rPr>
              <w:t>3</w:t>
            </w:r>
            <w:r w:rsidR="00B637D5">
              <w:rPr>
                <w:rFonts w:asciiTheme="minorHAnsi" w:eastAsiaTheme="minorEastAsia" w:hAnsiTheme="minorHAnsi"/>
                <w:noProof/>
                <w:lang w:eastAsia="en-AU"/>
              </w:rPr>
              <w:tab/>
            </w:r>
            <w:r w:rsidR="00B637D5" w:rsidRPr="003A2A51">
              <w:rPr>
                <w:rStyle w:val="Hyperlink"/>
                <w:noProof/>
                <w:lang w:val="en-GB"/>
              </w:rPr>
              <w:t>Focus on Hobart’s Northern Suburbs</w:t>
            </w:r>
            <w:r w:rsidR="00B637D5">
              <w:rPr>
                <w:noProof/>
                <w:webHidden/>
              </w:rPr>
              <w:tab/>
            </w:r>
            <w:r>
              <w:rPr>
                <w:noProof/>
                <w:webHidden/>
              </w:rPr>
              <w:fldChar w:fldCharType="begin"/>
            </w:r>
            <w:r w:rsidR="00B637D5">
              <w:rPr>
                <w:noProof/>
                <w:webHidden/>
              </w:rPr>
              <w:instrText xml:space="preserve"> PAGEREF _Toc326833281 \h </w:instrText>
            </w:r>
            <w:r>
              <w:rPr>
                <w:noProof/>
                <w:webHidden/>
              </w:rPr>
            </w:r>
            <w:r>
              <w:rPr>
                <w:noProof/>
                <w:webHidden/>
              </w:rPr>
              <w:fldChar w:fldCharType="separate"/>
            </w:r>
            <w:r w:rsidR="006E06A2">
              <w:rPr>
                <w:noProof/>
                <w:webHidden/>
              </w:rPr>
              <w:t>5</w:t>
            </w:r>
            <w:r>
              <w:rPr>
                <w:noProof/>
                <w:webHidden/>
              </w:rPr>
              <w:fldChar w:fldCharType="end"/>
            </w:r>
          </w:hyperlink>
        </w:p>
        <w:p w:rsidR="00B637D5" w:rsidRDefault="007661A0">
          <w:pPr>
            <w:pStyle w:val="TOC1"/>
            <w:tabs>
              <w:tab w:val="left" w:pos="440"/>
              <w:tab w:val="right" w:leader="dot" w:pos="9016"/>
            </w:tabs>
            <w:rPr>
              <w:rFonts w:asciiTheme="minorHAnsi" w:eastAsiaTheme="minorEastAsia" w:hAnsiTheme="minorHAnsi"/>
              <w:noProof/>
              <w:lang w:eastAsia="en-AU"/>
            </w:rPr>
          </w:pPr>
          <w:hyperlink w:anchor="_Toc326833282" w:history="1">
            <w:r w:rsidR="00B637D5" w:rsidRPr="003A2A51">
              <w:rPr>
                <w:rStyle w:val="Hyperlink"/>
                <w:noProof/>
              </w:rPr>
              <w:t>4</w:t>
            </w:r>
            <w:r w:rsidR="00B637D5">
              <w:rPr>
                <w:rFonts w:asciiTheme="minorHAnsi" w:eastAsiaTheme="minorEastAsia" w:hAnsiTheme="minorHAnsi"/>
                <w:noProof/>
                <w:lang w:eastAsia="en-AU"/>
              </w:rPr>
              <w:tab/>
            </w:r>
            <w:r w:rsidR="00B637D5" w:rsidRPr="003A2A51">
              <w:rPr>
                <w:rStyle w:val="Hyperlink"/>
                <w:noProof/>
              </w:rPr>
              <w:t>Transit corridor</w:t>
            </w:r>
            <w:r w:rsidR="00B637D5">
              <w:rPr>
                <w:noProof/>
                <w:webHidden/>
              </w:rPr>
              <w:tab/>
            </w:r>
            <w:r>
              <w:rPr>
                <w:noProof/>
                <w:webHidden/>
              </w:rPr>
              <w:fldChar w:fldCharType="begin"/>
            </w:r>
            <w:r w:rsidR="00B637D5">
              <w:rPr>
                <w:noProof/>
                <w:webHidden/>
              </w:rPr>
              <w:instrText xml:space="preserve"> PAGEREF _Toc326833282 \h </w:instrText>
            </w:r>
            <w:r>
              <w:rPr>
                <w:noProof/>
                <w:webHidden/>
              </w:rPr>
            </w:r>
            <w:r>
              <w:rPr>
                <w:noProof/>
                <w:webHidden/>
              </w:rPr>
              <w:fldChar w:fldCharType="separate"/>
            </w:r>
            <w:r w:rsidR="006E06A2">
              <w:rPr>
                <w:noProof/>
                <w:webHidden/>
              </w:rPr>
              <w:t>5</w:t>
            </w:r>
            <w:r>
              <w:rPr>
                <w:noProof/>
                <w:webHidden/>
              </w:rPr>
              <w:fldChar w:fldCharType="end"/>
            </w:r>
          </w:hyperlink>
        </w:p>
        <w:p w:rsidR="00B637D5" w:rsidRDefault="007661A0">
          <w:pPr>
            <w:pStyle w:val="TOC1"/>
            <w:tabs>
              <w:tab w:val="left" w:pos="440"/>
              <w:tab w:val="right" w:leader="dot" w:pos="9016"/>
            </w:tabs>
            <w:rPr>
              <w:rFonts w:asciiTheme="minorHAnsi" w:eastAsiaTheme="minorEastAsia" w:hAnsiTheme="minorHAnsi"/>
              <w:noProof/>
              <w:lang w:eastAsia="en-AU"/>
            </w:rPr>
          </w:pPr>
          <w:hyperlink w:anchor="_Toc326833283" w:history="1">
            <w:r w:rsidR="00B637D5" w:rsidRPr="003A2A51">
              <w:rPr>
                <w:rStyle w:val="Hyperlink"/>
                <w:noProof/>
                <w:lang w:val="en-GB"/>
              </w:rPr>
              <w:t>5</w:t>
            </w:r>
            <w:r w:rsidR="00B637D5">
              <w:rPr>
                <w:rFonts w:asciiTheme="minorHAnsi" w:eastAsiaTheme="minorEastAsia" w:hAnsiTheme="minorHAnsi"/>
                <w:noProof/>
                <w:lang w:eastAsia="en-AU"/>
              </w:rPr>
              <w:tab/>
            </w:r>
            <w:r w:rsidR="00B637D5" w:rsidRPr="003A2A51">
              <w:rPr>
                <w:rStyle w:val="Hyperlink"/>
                <w:noProof/>
                <w:lang w:val="en-GB"/>
              </w:rPr>
              <w:t>Investment focus</w:t>
            </w:r>
            <w:r w:rsidR="00B637D5">
              <w:rPr>
                <w:noProof/>
                <w:webHidden/>
              </w:rPr>
              <w:tab/>
            </w:r>
            <w:r>
              <w:rPr>
                <w:noProof/>
                <w:webHidden/>
              </w:rPr>
              <w:fldChar w:fldCharType="begin"/>
            </w:r>
            <w:r w:rsidR="00B637D5">
              <w:rPr>
                <w:noProof/>
                <w:webHidden/>
              </w:rPr>
              <w:instrText xml:space="preserve"> PAGEREF _Toc326833283 \h </w:instrText>
            </w:r>
            <w:r>
              <w:rPr>
                <w:noProof/>
                <w:webHidden/>
              </w:rPr>
            </w:r>
            <w:r>
              <w:rPr>
                <w:noProof/>
                <w:webHidden/>
              </w:rPr>
              <w:fldChar w:fldCharType="separate"/>
            </w:r>
            <w:r w:rsidR="006E06A2">
              <w:rPr>
                <w:noProof/>
                <w:webHidden/>
              </w:rPr>
              <w:t>6</w:t>
            </w:r>
            <w:r>
              <w:rPr>
                <w:noProof/>
                <w:webHidden/>
              </w:rPr>
              <w:fldChar w:fldCharType="end"/>
            </w:r>
          </w:hyperlink>
        </w:p>
        <w:p w:rsidR="00B637D5" w:rsidRDefault="007661A0">
          <w:pPr>
            <w:pStyle w:val="TOC1"/>
            <w:tabs>
              <w:tab w:val="left" w:pos="440"/>
              <w:tab w:val="right" w:leader="dot" w:pos="9016"/>
            </w:tabs>
            <w:rPr>
              <w:rFonts w:asciiTheme="minorHAnsi" w:eastAsiaTheme="minorEastAsia" w:hAnsiTheme="minorHAnsi"/>
              <w:noProof/>
              <w:lang w:eastAsia="en-AU"/>
            </w:rPr>
          </w:pPr>
          <w:hyperlink w:anchor="_Toc326833284" w:history="1">
            <w:r w:rsidR="00B637D5" w:rsidRPr="003A2A51">
              <w:rPr>
                <w:rStyle w:val="Hyperlink"/>
                <w:noProof/>
                <w:lang w:val="en-GB"/>
              </w:rPr>
              <w:t>6</w:t>
            </w:r>
            <w:r w:rsidR="00B637D5">
              <w:rPr>
                <w:rFonts w:asciiTheme="minorHAnsi" w:eastAsiaTheme="minorEastAsia" w:hAnsiTheme="minorHAnsi"/>
                <w:noProof/>
                <w:lang w:eastAsia="en-AU"/>
              </w:rPr>
              <w:tab/>
            </w:r>
            <w:r w:rsidR="00B637D5" w:rsidRPr="003A2A51">
              <w:rPr>
                <w:rStyle w:val="Hyperlink"/>
                <w:noProof/>
                <w:lang w:val="en-GB"/>
              </w:rPr>
              <w:t>Problem identification</w:t>
            </w:r>
            <w:r w:rsidR="00B637D5">
              <w:rPr>
                <w:noProof/>
                <w:webHidden/>
              </w:rPr>
              <w:tab/>
            </w:r>
            <w:r>
              <w:rPr>
                <w:noProof/>
                <w:webHidden/>
              </w:rPr>
              <w:fldChar w:fldCharType="begin"/>
            </w:r>
            <w:r w:rsidR="00B637D5">
              <w:rPr>
                <w:noProof/>
                <w:webHidden/>
              </w:rPr>
              <w:instrText xml:space="preserve"> PAGEREF _Toc326833284 \h </w:instrText>
            </w:r>
            <w:r>
              <w:rPr>
                <w:noProof/>
                <w:webHidden/>
              </w:rPr>
            </w:r>
            <w:r>
              <w:rPr>
                <w:noProof/>
                <w:webHidden/>
              </w:rPr>
              <w:fldChar w:fldCharType="separate"/>
            </w:r>
            <w:r w:rsidR="006E06A2">
              <w:rPr>
                <w:noProof/>
                <w:webHidden/>
              </w:rPr>
              <w:t>6</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85" w:history="1">
            <w:r w:rsidR="00B637D5" w:rsidRPr="003A2A51">
              <w:rPr>
                <w:rStyle w:val="Hyperlink"/>
                <w:noProof/>
              </w:rPr>
              <w:t>6.1</w:t>
            </w:r>
            <w:r w:rsidR="00B637D5">
              <w:rPr>
                <w:rFonts w:asciiTheme="minorHAnsi" w:eastAsiaTheme="minorEastAsia" w:hAnsiTheme="minorHAnsi"/>
                <w:noProof/>
                <w:lang w:eastAsia="en-AU"/>
              </w:rPr>
              <w:tab/>
            </w:r>
            <w:r w:rsidR="00B637D5" w:rsidRPr="003A2A51">
              <w:rPr>
                <w:rStyle w:val="Hyperlink"/>
                <w:noProof/>
              </w:rPr>
              <w:t>Population growth in outer urban areas</w:t>
            </w:r>
            <w:r w:rsidR="00B637D5">
              <w:rPr>
                <w:noProof/>
                <w:webHidden/>
              </w:rPr>
              <w:tab/>
            </w:r>
            <w:r>
              <w:rPr>
                <w:noProof/>
                <w:webHidden/>
              </w:rPr>
              <w:fldChar w:fldCharType="begin"/>
            </w:r>
            <w:r w:rsidR="00B637D5">
              <w:rPr>
                <w:noProof/>
                <w:webHidden/>
              </w:rPr>
              <w:instrText xml:space="preserve"> PAGEREF _Toc326833285 \h </w:instrText>
            </w:r>
            <w:r>
              <w:rPr>
                <w:noProof/>
                <w:webHidden/>
              </w:rPr>
            </w:r>
            <w:r>
              <w:rPr>
                <w:noProof/>
                <w:webHidden/>
              </w:rPr>
              <w:fldChar w:fldCharType="separate"/>
            </w:r>
            <w:r w:rsidR="006E06A2">
              <w:rPr>
                <w:noProof/>
                <w:webHidden/>
              </w:rPr>
              <w:t>7</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86" w:history="1">
            <w:r w:rsidR="00B637D5" w:rsidRPr="003A2A51">
              <w:rPr>
                <w:rStyle w:val="Hyperlink"/>
                <w:noProof/>
              </w:rPr>
              <w:t>6.2</w:t>
            </w:r>
            <w:r w:rsidR="00B637D5">
              <w:rPr>
                <w:rFonts w:asciiTheme="minorHAnsi" w:eastAsiaTheme="minorEastAsia" w:hAnsiTheme="minorHAnsi"/>
                <w:noProof/>
                <w:lang w:eastAsia="en-AU"/>
              </w:rPr>
              <w:tab/>
            </w:r>
            <w:r w:rsidR="00B637D5" w:rsidRPr="003A2A51">
              <w:rPr>
                <w:rStyle w:val="Hyperlink"/>
                <w:noProof/>
              </w:rPr>
              <w:t>Low levels of population density</w:t>
            </w:r>
            <w:r w:rsidR="00B637D5">
              <w:rPr>
                <w:noProof/>
                <w:webHidden/>
              </w:rPr>
              <w:tab/>
            </w:r>
            <w:r>
              <w:rPr>
                <w:noProof/>
                <w:webHidden/>
              </w:rPr>
              <w:fldChar w:fldCharType="begin"/>
            </w:r>
            <w:r w:rsidR="00B637D5">
              <w:rPr>
                <w:noProof/>
                <w:webHidden/>
              </w:rPr>
              <w:instrText xml:space="preserve"> PAGEREF _Toc326833286 \h </w:instrText>
            </w:r>
            <w:r>
              <w:rPr>
                <w:noProof/>
                <w:webHidden/>
              </w:rPr>
            </w:r>
            <w:r>
              <w:rPr>
                <w:noProof/>
                <w:webHidden/>
              </w:rPr>
              <w:fldChar w:fldCharType="separate"/>
            </w:r>
            <w:r w:rsidR="006E06A2">
              <w:rPr>
                <w:noProof/>
                <w:webHidden/>
              </w:rPr>
              <w:t>8</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87" w:history="1">
            <w:r w:rsidR="00B637D5" w:rsidRPr="003A2A51">
              <w:rPr>
                <w:rStyle w:val="Hyperlink"/>
                <w:noProof/>
              </w:rPr>
              <w:t>6.3</w:t>
            </w:r>
            <w:r w:rsidR="00B637D5">
              <w:rPr>
                <w:rFonts w:asciiTheme="minorHAnsi" w:eastAsiaTheme="minorEastAsia" w:hAnsiTheme="minorHAnsi"/>
                <w:noProof/>
                <w:lang w:eastAsia="en-AU"/>
              </w:rPr>
              <w:tab/>
            </w:r>
            <w:r w:rsidR="00B637D5" w:rsidRPr="003A2A51">
              <w:rPr>
                <w:rStyle w:val="Hyperlink"/>
                <w:noProof/>
              </w:rPr>
              <w:t xml:space="preserve">An </w:t>
            </w:r>
            <w:r w:rsidR="000E6976">
              <w:rPr>
                <w:rStyle w:val="Hyperlink"/>
                <w:noProof/>
              </w:rPr>
              <w:t>ageing</w:t>
            </w:r>
            <w:r w:rsidR="00B637D5" w:rsidRPr="003A2A51">
              <w:rPr>
                <w:rStyle w:val="Hyperlink"/>
                <w:noProof/>
              </w:rPr>
              <w:t xml:space="preserve"> population</w:t>
            </w:r>
            <w:r w:rsidR="00B637D5">
              <w:rPr>
                <w:noProof/>
                <w:webHidden/>
              </w:rPr>
              <w:tab/>
            </w:r>
            <w:r>
              <w:rPr>
                <w:noProof/>
                <w:webHidden/>
              </w:rPr>
              <w:fldChar w:fldCharType="begin"/>
            </w:r>
            <w:r w:rsidR="00B637D5">
              <w:rPr>
                <w:noProof/>
                <w:webHidden/>
              </w:rPr>
              <w:instrText xml:space="preserve"> PAGEREF _Toc326833287 \h </w:instrText>
            </w:r>
            <w:r>
              <w:rPr>
                <w:noProof/>
                <w:webHidden/>
              </w:rPr>
            </w:r>
            <w:r>
              <w:rPr>
                <w:noProof/>
                <w:webHidden/>
              </w:rPr>
              <w:fldChar w:fldCharType="separate"/>
            </w:r>
            <w:r w:rsidR="006E06A2">
              <w:rPr>
                <w:noProof/>
                <w:webHidden/>
              </w:rPr>
              <w:t>9</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88" w:history="1">
            <w:r w:rsidR="00B637D5" w:rsidRPr="003A2A51">
              <w:rPr>
                <w:rStyle w:val="Hyperlink"/>
                <w:noProof/>
                <w:lang w:val="en-GB"/>
              </w:rPr>
              <w:t>6.4</w:t>
            </w:r>
            <w:r w:rsidR="00B637D5">
              <w:rPr>
                <w:rFonts w:asciiTheme="minorHAnsi" w:eastAsiaTheme="minorEastAsia" w:hAnsiTheme="minorHAnsi"/>
                <w:noProof/>
                <w:lang w:eastAsia="en-AU"/>
              </w:rPr>
              <w:tab/>
            </w:r>
            <w:r w:rsidR="00B637D5" w:rsidRPr="003A2A51">
              <w:rPr>
                <w:rStyle w:val="Hyperlink"/>
                <w:noProof/>
                <w:lang w:val="en-GB"/>
              </w:rPr>
              <w:t>Social exclusion</w:t>
            </w:r>
            <w:r w:rsidR="00B637D5">
              <w:rPr>
                <w:noProof/>
                <w:webHidden/>
              </w:rPr>
              <w:tab/>
            </w:r>
            <w:r>
              <w:rPr>
                <w:noProof/>
                <w:webHidden/>
              </w:rPr>
              <w:fldChar w:fldCharType="begin"/>
            </w:r>
            <w:r w:rsidR="00B637D5">
              <w:rPr>
                <w:noProof/>
                <w:webHidden/>
              </w:rPr>
              <w:instrText xml:space="preserve"> PAGEREF _Toc326833288 \h </w:instrText>
            </w:r>
            <w:r>
              <w:rPr>
                <w:noProof/>
                <w:webHidden/>
              </w:rPr>
            </w:r>
            <w:r>
              <w:rPr>
                <w:noProof/>
                <w:webHidden/>
              </w:rPr>
              <w:fldChar w:fldCharType="separate"/>
            </w:r>
            <w:r w:rsidR="006E06A2">
              <w:rPr>
                <w:noProof/>
                <w:webHidden/>
              </w:rPr>
              <w:t>10</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89" w:history="1">
            <w:r w:rsidR="00B637D5" w:rsidRPr="003A2A51">
              <w:rPr>
                <w:rStyle w:val="Hyperlink"/>
                <w:noProof/>
                <w:lang w:val="en-GB"/>
              </w:rPr>
              <w:t>6.5</w:t>
            </w:r>
            <w:r w:rsidR="00B637D5">
              <w:rPr>
                <w:rFonts w:asciiTheme="minorHAnsi" w:eastAsiaTheme="minorEastAsia" w:hAnsiTheme="minorHAnsi"/>
                <w:noProof/>
                <w:lang w:eastAsia="en-AU"/>
              </w:rPr>
              <w:tab/>
            </w:r>
            <w:r w:rsidR="00B637D5" w:rsidRPr="003A2A51">
              <w:rPr>
                <w:rStyle w:val="Hyperlink"/>
                <w:noProof/>
                <w:lang w:val="en-GB"/>
              </w:rPr>
              <w:t>Low levels of physical activity</w:t>
            </w:r>
            <w:r w:rsidR="00B637D5">
              <w:rPr>
                <w:noProof/>
                <w:webHidden/>
              </w:rPr>
              <w:tab/>
            </w:r>
            <w:r>
              <w:rPr>
                <w:noProof/>
                <w:webHidden/>
              </w:rPr>
              <w:fldChar w:fldCharType="begin"/>
            </w:r>
            <w:r w:rsidR="00B637D5">
              <w:rPr>
                <w:noProof/>
                <w:webHidden/>
              </w:rPr>
              <w:instrText xml:space="preserve"> PAGEREF _Toc326833289 \h </w:instrText>
            </w:r>
            <w:r>
              <w:rPr>
                <w:noProof/>
                <w:webHidden/>
              </w:rPr>
            </w:r>
            <w:r>
              <w:rPr>
                <w:noProof/>
                <w:webHidden/>
              </w:rPr>
              <w:fldChar w:fldCharType="separate"/>
            </w:r>
            <w:r w:rsidR="006E06A2">
              <w:rPr>
                <w:noProof/>
                <w:webHidden/>
              </w:rPr>
              <w:t>10</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90" w:history="1">
            <w:r w:rsidR="00B637D5" w:rsidRPr="003A2A51">
              <w:rPr>
                <w:rStyle w:val="Hyperlink"/>
                <w:noProof/>
                <w:lang w:val="en-GB"/>
              </w:rPr>
              <w:t>6.6</w:t>
            </w:r>
            <w:r w:rsidR="00B637D5">
              <w:rPr>
                <w:rFonts w:asciiTheme="minorHAnsi" w:eastAsiaTheme="minorEastAsia" w:hAnsiTheme="minorHAnsi"/>
                <w:noProof/>
                <w:lang w:eastAsia="en-AU"/>
              </w:rPr>
              <w:tab/>
            </w:r>
            <w:r w:rsidR="00B637D5" w:rsidRPr="003A2A51">
              <w:rPr>
                <w:rStyle w:val="Hyperlink"/>
                <w:noProof/>
                <w:lang w:val="en-GB"/>
              </w:rPr>
              <w:t>High reliance on cars</w:t>
            </w:r>
            <w:r w:rsidR="00B637D5">
              <w:rPr>
                <w:noProof/>
                <w:webHidden/>
              </w:rPr>
              <w:tab/>
            </w:r>
            <w:r>
              <w:rPr>
                <w:noProof/>
                <w:webHidden/>
              </w:rPr>
              <w:fldChar w:fldCharType="begin"/>
            </w:r>
            <w:r w:rsidR="00B637D5">
              <w:rPr>
                <w:noProof/>
                <w:webHidden/>
              </w:rPr>
              <w:instrText xml:space="preserve"> PAGEREF _Toc326833290 \h </w:instrText>
            </w:r>
            <w:r>
              <w:rPr>
                <w:noProof/>
                <w:webHidden/>
              </w:rPr>
            </w:r>
            <w:r>
              <w:rPr>
                <w:noProof/>
                <w:webHidden/>
              </w:rPr>
              <w:fldChar w:fldCharType="separate"/>
            </w:r>
            <w:r w:rsidR="006E06A2">
              <w:rPr>
                <w:noProof/>
                <w:webHidden/>
              </w:rPr>
              <w:t>11</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91" w:history="1">
            <w:r w:rsidR="00B637D5" w:rsidRPr="003A2A51">
              <w:rPr>
                <w:rStyle w:val="Hyperlink"/>
                <w:noProof/>
                <w:lang w:val="en-GB"/>
              </w:rPr>
              <w:t>6.7</w:t>
            </w:r>
            <w:r w:rsidR="00B637D5">
              <w:rPr>
                <w:rFonts w:asciiTheme="minorHAnsi" w:eastAsiaTheme="minorEastAsia" w:hAnsiTheme="minorHAnsi"/>
                <w:noProof/>
                <w:lang w:eastAsia="en-AU"/>
              </w:rPr>
              <w:tab/>
            </w:r>
            <w:r w:rsidR="00B637D5" w:rsidRPr="003A2A51">
              <w:rPr>
                <w:rStyle w:val="Hyperlink"/>
                <w:noProof/>
                <w:lang w:val="en-GB"/>
              </w:rPr>
              <w:t>Vulnerability to increases in oil prices</w:t>
            </w:r>
            <w:r w:rsidR="00B637D5">
              <w:rPr>
                <w:noProof/>
                <w:webHidden/>
              </w:rPr>
              <w:tab/>
            </w:r>
            <w:r>
              <w:rPr>
                <w:noProof/>
                <w:webHidden/>
              </w:rPr>
              <w:fldChar w:fldCharType="begin"/>
            </w:r>
            <w:r w:rsidR="00B637D5">
              <w:rPr>
                <w:noProof/>
                <w:webHidden/>
              </w:rPr>
              <w:instrText xml:space="preserve"> PAGEREF _Toc326833291 \h </w:instrText>
            </w:r>
            <w:r>
              <w:rPr>
                <w:noProof/>
                <w:webHidden/>
              </w:rPr>
            </w:r>
            <w:r>
              <w:rPr>
                <w:noProof/>
                <w:webHidden/>
              </w:rPr>
              <w:fldChar w:fldCharType="separate"/>
            </w:r>
            <w:r w:rsidR="006E06A2">
              <w:rPr>
                <w:noProof/>
                <w:webHidden/>
              </w:rPr>
              <w:t>12</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92" w:history="1">
            <w:r w:rsidR="00B637D5" w:rsidRPr="003A2A51">
              <w:rPr>
                <w:rStyle w:val="Hyperlink"/>
                <w:noProof/>
              </w:rPr>
              <w:t>6.8</w:t>
            </w:r>
            <w:r w:rsidR="00B637D5">
              <w:rPr>
                <w:rFonts w:asciiTheme="minorHAnsi" w:eastAsiaTheme="minorEastAsia" w:hAnsiTheme="minorHAnsi"/>
                <w:noProof/>
                <w:lang w:eastAsia="en-AU"/>
              </w:rPr>
              <w:tab/>
            </w:r>
            <w:r w:rsidR="00B637D5" w:rsidRPr="003A2A51">
              <w:rPr>
                <w:rStyle w:val="Hyperlink"/>
                <w:noProof/>
              </w:rPr>
              <w:t>Transport is a major contributor to greenhouse gas emissions</w:t>
            </w:r>
            <w:r w:rsidR="00B637D5">
              <w:rPr>
                <w:noProof/>
                <w:webHidden/>
              </w:rPr>
              <w:tab/>
            </w:r>
            <w:r>
              <w:rPr>
                <w:noProof/>
                <w:webHidden/>
              </w:rPr>
              <w:fldChar w:fldCharType="begin"/>
            </w:r>
            <w:r w:rsidR="00B637D5">
              <w:rPr>
                <w:noProof/>
                <w:webHidden/>
              </w:rPr>
              <w:instrText xml:space="preserve"> PAGEREF _Toc326833292 \h </w:instrText>
            </w:r>
            <w:r>
              <w:rPr>
                <w:noProof/>
                <w:webHidden/>
              </w:rPr>
            </w:r>
            <w:r>
              <w:rPr>
                <w:noProof/>
                <w:webHidden/>
              </w:rPr>
              <w:fldChar w:fldCharType="separate"/>
            </w:r>
            <w:r w:rsidR="006E06A2">
              <w:rPr>
                <w:noProof/>
                <w:webHidden/>
              </w:rPr>
              <w:t>13</w:t>
            </w:r>
            <w:r>
              <w:rPr>
                <w:noProof/>
                <w:webHidden/>
              </w:rPr>
              <w:fldChar w:fldCharType="end"/>
            </w:r>
          </w:hyperlink>
        </w:p>
        <w:p w:rsidR="00B637D5" w:rsidRDefault="007661A0">
          <w:pPr>
            <w:pStyle w:val="TOC2"/>
            <w:tabs>
              <w:tab w:val="left" w:pos="880"/>
              <w:tab w:val="right" w:leader="dot" w:pos="9016"/>
            </w:tabs>
            <w:rPr>
              <w:rFonts w:asciiTheme="minorHAnsi" w:eastAsiaTheme="minorEastAsia" w:hAnsiTheme="minorHAnsi"/>
              <w:noProof/>
              <w:lang w:eastAsia="en-AU"/>
            </w:rPr>
          </w:pPr>
          <w:hyperlink w:anchor="_Toc326833293" w:history="1">
            <w:r w:rsidR="00B637D5" w:rsidRPr="003A2A51">
              <w:rPr>
                <w:rStyle w:val="Hyperlink"/>
                <w:noProof/>
                <w:lang w:val="en-US"/>
              </w:rPr>
              <w:t>6.9</w:t>
            </w:r>
            <w:r w:rsidR="00B637D5">
              <w:rPr>
                <w:rFonts w:asciiTheme="minorHAnsi" w:eastAsiaTheme="minorEastAsia" w:hAnsiTheme="minorHAnsi"/>
                <w:noProof/>
                <w:lang w:eastAsia="en-AU"/>
              </w:rPr>
              <w:tab/>
            </w:r>
            <w:r w:rsidR="00B637D5" w:rsidRPr="003A2A51">
              <w:rPr>
                <w:rStyle w:val="Hyperlink"/>
                <w:noProof/>
                <w:lang w:val="en-US"/>
              </w:rPr>
              <w:t>Increasing cost of transport infrastructure</w:t>
            </w:r>
            <w:r w:rsidR="00B637D5">
              <w:rPr>
                <w:noProof/>
                <w:webHidden/>
              </w:rPr>
              <w:tab/>
            </w:r>
            <w:r>
              <w:rPr>
                <w:noProof/>
                <w:webHidden/>
              </w:rPr>
              <w:fldChar w:fldCharType="begin"/>
            </w:r>
            <w:r w:rsidR="00B637D5">
              <w:rPr>
                <w:noProof/>
                <w:webHidden/>
              </w:rPr>
              <w:instrText xml:space="preserve"> PAGEREF _Toc326833293 \h </w:instrText>
            </w:r>
            <w:r>
              <w:rPr>
                <w:noProof/>
                <w:webHidden/>
              </w:rPr>
            </w:r>
            <w:r>
              <w:rPr>
                <w:noProof/>
                <w:webHidden/>
              </w:rPr>
              <w:fldChar w:fldCharType="separate"/>
            </w:r>
            <w:r w:rsidR="006E06A2">
              <w:rPr>
                <w:noProof/>
                <w:webHidden/>
              </w:rPr>
              <w:t>13</w:t>
            </w:r>
            <w:r>
              <w:rPr>
                <w:noProof/>
                <w:webHidden/>
              </w:rPr>
              <w:fldChar w:fldCharType="end"/>
            </w:r>
          </w:hyperlink>
        </w:p>
        <w:p w:rsidR="000D2CE5" w:rsidRDefault="007661A0">
          <w:r>
            <w:fldChar w:fldCharType="end"/>
          </w:r>
        </w:p>
      </w:sdtContent>
    </w:sdt>
    <w:p w:rsidR="000D2CE5" w:rsidRPr="000D2CE5" w:rsidRDefault="004B684D" w:rsidP="000D2CE5">
      <w:r>
        <w:br w:type="page"/>
      </w:r>
    </w:p>
    <w:p w:rsidR="00D506B1" w:rsidRDefault="00D506B1" w:rsidP="00D506B1">
      <w:pPr>
        <w:pStyle w:val="Heading1"/>
      </w:pPr>
      <w:bookmarkStart w:id="0" w:name="_Toc326833279"/>
      <w:r>
        <w:lastRenderedPageBreak/>
        <w:t>Key points</w:t>
      </w:r>
      <w:bookmarkEnd w:id="0"/>
    </w:p>
    <w:p w:rsidR="007266A1" w:rsidRDefault="007266A1" w:rsidP="002B5F96">
      <w:pPr>
        <w:spacing w:after="120" w:line="240" w:lineRule="auto"/>
        <w:jc w:val="both"/>
        <w:rPr>
          <w:lang w:val="en-GB"/>
        </w:rPr>
      </w:pPr>
      <w:r w:rsidRPr="0035032F">
        <w:rPr>
          <w:lang w:val="en-GB"/>
        </w:rPr>
        <w:t xml:space="preserve">There is a need to identify the problems with </w:t>
      </w:r>
      <w:r w:rsidR="00565DBE">
        <w:rPr>
          <w:lang w:val="en-GB"/>
        </w:rPr>
        <w:t xml:space="preserve">the sustainability of </w:t>
      </w:r>
      <w:r>
        <w:rPr>
          <w:lang w:val="en-GB"/>
        </w:rPr>
        <w:t>Greater Hobart’s</w:t>
      </w:r>
      <w:r w:rsidRPr="0035032F">
        <w:rPr>
          <w:lang w:val="en-GB"/>
        </w:rPr>
        <w:t xml:space="preserve"> </w:t>
      </w:r>
      <w:r w:rsidR="00ED4996">
        <w:rPr>
          <w:lang w:val="en-GB"/>
        </w:rPr>
        <w:t>current</w:t>
      </w:r>
      <w:r w:rsidR="00565DBE">
        <w:rPr>
          <w:lang w:val="en-GB"/>
        </w:rPr>
        <w:t xml:space="preserve"> </w:t>
      </w:r>
      <w:r w:rsidRPr="0035032F">
        <w:rPr>
          <w:lang w:val="en-GB"/>
        </w:rPr>
        <w:t>transport and land use planning system</w:t>
      </w:r>
      <w:r w:rsidR="00565DBE">
        <w:rPr>
          <w:lang w:val="en-GB"/>
        </w:rPr>
        <w:t>s</w:t>
      </w:r>
      <w:r w:rsidRPr="0035032F">
        <w:rPr>
          <w:lang w:val="en-GB"/>
        </w:rPr>
        <w:t xml:space="preserve"> </w:t>
      </w:r>
      <w:r>
        <w:rPr>
          <w:lang w:val="en-GB"/>
        </w:rPr>
        <w:t>to</w:t>
      </w:r>
      <w:r w:rsidRPr="0035032F">
        <w:rPr>
          <w:lang w:val="en-GB"/>
        </w:rPr>
        <w:t xml:space="preserve"> </w:t>
      </w:r>
      <w:r>
        <w:rPr>
          <w:lang w:val="en-GB"/>
        </w:rPr>
        <w:t xml:space="preserve">ensure that actions developed in the Transit Corridor Plan </w:t>
      </w:r>
      <w:r w:rsidR="00565DBE">
        <w:rPr>
          <w:lang w:val="en-GB"/>
        </w:rPr>
        <w:t xml:space="preserve">properly </w:t>
      </w:r>
      <w:r>
        <w:rPr>
          <w:lang w:val="en-GB"/>
        </w:rPr>
        <w:t>target the</w:t>
      </w:r>
      <w:r w:rsidR="00565DBE">
        <w:rPr>
          <w:lang w:val="en-GB"/>
        </w:rPr>
        <w:t>se</w:t>
      </w:r>
      <w:r>
        <w:rPr>
          <w:lang w:val="en-GB"/>
        </w:rPr>
        <w:t xml:space="preserve"> issues</w:t>
      </w:r>
      <w:r w:rsidRPr="0035032F">
        <w:rPr>
          <w:lang w:val="en-GB"/>
        </w:rPr>
        <w:t xml:space="preserve">. </w:t>
      </w:r>
    </w:p>
    <w:p w:rsidR="002B5F96" w:rsidRPr="0035032F" w:rsidRDefault="002B5F96" w:rsidP="002B5F96">
      <w:pPr>
        <w:spacing w:after="120" w:line="240" w:lineRule="auto"/>
        <w:jc w:val="both"/>
        <w:rPr>
          <w:lang w:val="en-GB"/>
        </w:rPr>
      </w:pPr>
      <w:r w:rsidRPr="00ED4996">
        <w:rPr>
          <w:lang w:val="en-GB"/>
        </w:rPr>
        <w:t xml:space="preserve">The problems identified below are experienced at the metropolitan planning level. Developing Main Road as a Transit Corridor is one option </w:t>
      </w:r>
      <w:r w:rsidR="00ED4996" w:rsidRPr="00ED4996">
        <w:rPr>
          <w:lang w:val="en-GB"/>
        </w:rPr>
        <w:t xml:space="preserve">which will help target these </w:t>
      </w:r>
      <w:r w:rsidR="00ED4996">
        <w:rPr>
          <w:lang w:val="en-GB"/>
        </w:rPr>
        <w:t>problems by focusing speci</w:t>
      </w:r>
      <w:r w:rsidR="002261CD">
        <w:rPr>
          <w:lang w:val="en-GB"/>
        </w:rPr>
        <w:t>fic</w:t>
      </w:r>
      <w:r w:rsidR="00ED4996">
        <w:rPr>
          <w:lang w:val="en-GB"/>
        </w:rPr>
        <w:t xml:space="preserve">ally on improving transport and land use planning outcomes in the Northern Suburbs.  The Transit Corridors project alone will not solve these metropolitan </w:t>
      </w:r>
      <w:r w:rsidR="00AA7154">
        <w:rPr>
          <w:lang w:val="en-GB"/>
        </w:rPr>
        <w:t>problems;</w:t>
      </w:r>
      <w:r w:rsidR="00ED4996">
        <w:rPr>
          <w:lang w:val="en-GB"/>
        </w:rPr>
        <w:t xml:space="preserve"> other strategies will be required </w:t>
      </w:r>
      <w:r w:rsidR="00473FAB">
        <w:rPr>
          <w:lang w:val="en-GB"/>
        </w:rPr>
        <w:t>to target these issues.</w:t>
      </w:r>
    </w:p>
    <w:p w:rsidR="002B5F96" w:rsidRPr="006B7627" w:rsidRDefault="002B5F96" w:rsidP="002B5F96">
      <w:pPr>
        <w:pStyle w:val="ListParagraph"/>
        <w:numPr>
          <w:ilvl w:val="0"/>
          <w:numId w:val="20"/>
        </w:numPr>
        <w:spacing w:after="120" w:line="240" w:lineRule="auto"/>
        <w:ind w:left="714" w:hanging="357"/>
        <w:contextualSpacing w:val="0"/>
        <w:jc w:val="both"/>
        <w:rPr>
          <w:b/>
        </w:rPr>
      </w:pPr>
      <w:r w:rsidRPr="006B7627">
        <w:rPr>
          <w:b/>
        </w:rPr>
        <w:t>Population growth in outer urban areas:</w:t>
      </w:r>
    </w:p>
    <w:p w:rsidR="002B5F96" w:rsidRPr="002B5F96" w:rsidRDefault="00FA1235" w:rsidP="002B5F96">
      <w:pPr>
        <w:pStyle w:val="ListParagraph"/>
        <w:numPr>
          <w:ilvl w:val="1"/>
          <w:numId w:val="20"/>
        </w:numPr>
        <w:spacing w:after="120" w:line="240" w:lineRule="auto"/>
        <w:contextualSpacing w:val="0"/>
        <w:jc w:val="both"/>
      </w:pPr>
      <w:r>
        <w:rPr>
          <w:rFonts w:cs="Arial"/>
        </w:rPr>
        <w:t>P</w:t>
      </w:r>
      <w:r w:rsidR="002B5F96">
        <w:rPr>
          <w:rFonts w:cs="Arial"/>
        </w:rPr>
        <w:t xml:space="preserve">laces pressure on </w:t>
      </w:r>
      <w:r w:rsidR="000118A3">
        <w:rPr>
          <w:rFonts w:cs="Arial"/>
        </w:rPr>
        <w:t xml:space="preserve">urban </w:t>
      </w:r>
      <w:r w:rsidR="002B5F96">
        <w:rPr>
          <w:rFonts w:cs="Arial"/>
        </w:rPr>
        <w:t>arterial road networks.</w:t>
      </w:r>
    </w:p>
    <w:p w:rsidR="00FA1235" w:rsidRPr="00FA1235" w:rsidRDefault="00FA1235" w:rsidP="00FA1235">
      <w:pPr>
        <w:pStyle w:val="ListParagraph"/>
        <w:numPr>
          <w:ilvl w:val="1"/>
          <w:numId w:val="20"/>
        </w:numPr>
        <w:spacing w:after="120" w:line="240" w:lineRule="auto"/>
        <w:contextualSpacing w:val="0"/>
        <w:jc w:val="both"/>
      </w:pPr>
      <w:r>
        <w:rPr>
          <w:rFonts w:cs="Arial"/>
        </w:rPr>
        <w:t xml:space="preserve">Outer urban areas </w:t>
      </w:r>
      <w:r w:rsidR="002B5F96">
        <w:rPr>
          <w:rFonts w:cs="Arial"/>
        </w:rPr>
        <w:t>have high levels of car dependence as they are separated fr</w:t>
      </w:r>
      <w:r>
        <w:rPr>
          <w:rFonts w:cs="Arial"/>
        </w:rPr>
        <w:t xml:space="preserve">om places of work and activity; </w:t>
      </w:r>
      <w:r>
        <w:t>this</w:t>
      </w:r>
      <w:r w:rsidR="002B5F96">
        <w:rPr>
          <w:rFonts w:cs="Arial"/>
        </w:rPr>
        <w:t xml:space="preserve"> reduces walking and cycling options</w:t>
      </w:r>
      <w:r>
        <w:rPr>
          <w:rFonts w:cs="Arial"/>
        </w:rPr>
        <w:t>.</w:t>
      </w:r>
    </w:p>
    <w:p w:rsidR="002B5F96" w:rsidRPr="0035032F" w:rsidRDefault="00FA1235" w:rsidP="00FA1235">
      <w:pPr>
        <w:pStyle w:val="ListParagraph"/>
        <w:numPr>
          <w:ilvl w:val="1"/>
          <w:numId w:val="20"/>
        </w:numPr>
        <w:spacing w:after="120" w:line="240" w:lineRule="auto"/>
        <w:contextualSpacing w:val="0"/>
        <w:jc w:val="both"/>
      </w:pPr>
      <w:r>
        <w:rPr>
          <w:rFonts w:cs="Arial"/>
        </w:rPr>
        <w:t>P</w:t>
      </w:r>
      <w:r w:rsidR="002B5F96">
        <w:rPr>
          <w:rFonts w:cs="Arial"/>
        </w:rPr>
        <w:t xml:space="preserve">ublic transport services are </w:t>
      </w:r>
      <w:r>
        <w:rPr>
          <w:rFonts w:cs="Arial"/>
        </w:rPr>
        <w:t>often limited in outer areas as density is lower than inner areas.</w:t>
      </w:r>
    </w:p>
    <w:p w:rsidR="002B5F96" w:rsidRPr="006B7627" w:rsidRDefault="002B5F96" w:rsidP="002B5F96">
      <w:pPr>
        <w:pStyle w:val="ListParagraph"/>
        <w:numPr>
          <w:ilvl w:val="0"/>
          <w:numId w:val="20"/>
        </w:numPr>
        <w:spacing w:after="120" w:line="240" w:lineRule="auto"/>
        <w:ind w:left="714" w:hanging="357"/>
        <w:contextualSpacing w:val="0"/>
        <w:jc w:val="both"/>
        <w:rPr>
          <w:b/>
        </w:rPr>
      </w:pPr>
      <w:r w:rsidRPr="006B7627">
        <w:rPr>
          <w:b/>
        </w:rPr>
        <w:t>Low levels of population density:</w:t>
      </w:r>
    </w:p>
    <w:p w:rsidR="000118A3" w:rsidRPr="000118A3" w:rsidRDefault="000118A3" w:rsidP="000118A3">
      <w:pPr>
        <w:pStyle w:val="Texttoreplace"/>
        <w:numPr>
          <w:ilvl w:val="1"/>
          <w:numId w:val="20"/>
        </w:numPr>
        <w:spacing w:after="120" w:line="240" w:lineRule="auto"/>
        <w:jc w:val="both"/>
        <w:rPr>
          <w:rFonts w:ascii="Arial" w:hAnsi="Arial" w:cs="Arial"/>
          <w:i w:val="0"/>
          <w:sz w:val="22"/>
          <w:lang w:val="en-GB"/>
        </w:rPr>
      </w:pPr>
      <w:r w:rsidRPr="000118A3">
        <w:rPr>
          <w:rFonts w:ascii="Arial" w:hAnsi="Arial" w:cs="Arial"/>
          <w:i w:val="0"/>
          <w:sz w:val="22"/>
        </w:rPr>
        <w:t>Greater Hobart has a dispersed settlement pattern with an average density of 12 people per hectare</w:t>
      </w:r>
      <w:r w:rsidR="00060007">
        <w:rPr>
          <w:rFonts w:ascii="Arial" w:hAnsi="Arial" w:cs="Arial"/>
          <w:i w:val="0"/>
          <w:sz w:val="22"/>
        </w:rPr>
        <w:t xml:space="preserve"> (ABS 2006)</w:t>
      </w:r>
      <w:r w:rsidRPr="000118A3">
        <w:rPr>
          <w:rFonts w:ascii="Arial" w:hAnsi="Arial" w:cs="Arial"/>
          <w:i w:val="0"/>
          <w:sz w:val="22"/>
        </w:rPr>
        <w:t xml:space="preserve">. </w:t>
      </w:r>
    </w:p>
    <w:p w:rsidR="000118A3" w:rsidRPr="000118A3" w:rsidRDefault="000118A3" w:rsidP="000118A3">
      <w:pPr>
        <w:pStyle w:val="ListParagraph"/>
        <w:numPr>
          <w:ilvl w:val="1"/>
          <w:numId w:val="20"/>
        </w:numPr>
        <w:spacing w:after="120" w:line="240" w:lineRule="auto"/>
        <w:contextualSpacing w:val="0"/>
        <w:jc w:val="both"/>
      </w:pPr>
      <w:r w:rsidRPr="000118A3">
        <w:rPr>
          <w:rFonts w:cs="Arial"/>
          <w:lang w:val="en-GB"/>
        </w:rPr>
        <w:t>This level of density is well below the agreed standard for effective delivery of public transport services</w:t>
      </w:r>
      <w:r w:rsidR="00473FAB">
        <w:rPr>
          <w:rFonts w:cs="Arial"/>
          <w:lang w:val="en-GB"/>
        </w:rPr>
        <w:t xml:space="preserve"> </w:t>
      </w:r>
      <w:r w:rsidR="00651F36">
        <w:rPr>
          <w:rFonts w:cs="Arial"/>
          <w:lang w:val="en-GB"/>
        </w:rPr>
        <w:t xml:space="preserve">that other states use </w:t>
      </w:r>
      <w:r w:rsidR="00473FAB">
        <w:rPr>
          <w:rFonts w:cs="Arial"/>
          <w:lang w:val="en-GB"/>
        </w:rPr>
        <w:t>(15 people per hectare)</w:t>
      </w:r>
      <w:r w:rsidR="00651F36">
        <w:rPr>
          <w:rFonts w:cs="Arial"/>
          <w:lang w:val="en-GB"/>
        </w:rPr>
        <w:t xml:space="preserve"> </w:t>
      </w:r>
      <w:r w:rsidR="00651F36" w:rsidRPr="00651F36">
        <w:rPr>
          <w:rFonts w:cs="Arial"/>
          <w:lang w:val="en-GB"/>
        </w:rPr>
        <w:t>(NSW 2001)</w:t>
      </w:r>
      <w:r w:rsidRPr="00651F36">
        <w:rPr>
          <w:rFonts w:cs="Arial"/>
          <w:lang w:val="en-GB"/>
        </w:rPr>
        <w:t>;</w:t>
      </w:r>
      <w:r>
        <w:rPr>
          <w:rFonts w:cs="Arial"/>
          <w:lang w:val="en-GB"/>
        </w:rPr>
        <w:t xml:space="preserve"> resulting in bus routes </w:t>
      </w:r>
      <w:r>
        <w:rPr>
          <w:rFonts w:cs="Arial"/>
          <w:color w:val="000000"/>
        </w:rPr>
        <w:t>being planned</w:t>
      </w:r>
      <w:r w:rsidRPr="000118A3">
        <w:rPr>
          <w:rFonts w:cs="Arial"/>
          <w:color w:val="000000"/>
        </w:rPr>
        <w:t xml:space="preserve"> on a low-frequency, high-penetration basis. </w:t>
      </w:r>
    </w:p>
    <w:p w:rsidR="000118A3" w:rsidRPr="000118A3" w:rsidRDefault="000118A3" w:rsidP="000118A3">
      <w:pPr>
        <w:pStyle w:val="ListParagraph"/>
        <w:numPr>
          <w:ilvl w:val="1"/>
          <w:numId w:val="20"/>
        </w:numPr>
        <w:spacing w:after="120" w:line="240" w:lineRule="auto"/>
        <w:contextualSpacing w:val="0"/>
        <w:jc w:val="both"/>
      </w:pPr>
      <w:r w:rsidRPr="000118A3">
        <w:rPr>
          <w:rFonts w:cs="Arial"/>
          <w:color w:val="000000"/>
        </w:rPr>
        <w:t>This means that bus routes are often very long and not competitive with the car in terms of travel time</w:t>
      </w:r>
      <w:r w:rsidR="006B7627">
        <w:rPr>
          <w:rFonts w:cs="Arial"/>
          <w:color w:val="000000"/>
        </w:rPr>
        <w:t>s</w:t>
      </w:r>
      <w:r w:rsidRPr="000118A3">
        <w:rPr>
          <w:rFonts w:cs="Arial"/>
          <w:color w:val="000000"/>
        </w:rPr>
        <w:t>.</w:t>
      </w:r>
    </w:p>
    <w:p w:rsidR="002B5F96" w:rsidRPr="006B7627" w:rsidRDefault="000118A3" w:rsidP="002B5F96">
      <w:pPr>
        <w:pStyle w:val="ListParagraph"/>
        <w:numPr>
          <w:ilvl w:val="0"/>
          <w:numId w:val="20"/>
        </w:numPr>
        <w:spacing w:after="120" w:line="240" w:lineRule="auto"/>
        <w:ind w:left="714" w:hanging="357"/>
        <w:contextualSpacing w:val="0"/>
        <w:jc w:val="both"/>
        <w:rPr>
          <w:b/>
        </w:rPr>
      </w:pPr>
      <w:r w:rsidRPr="006B7627">
        <w:rPr>
          <w:b/>
        </w:rPr>
        <w:t xml:space="preserve">An </w:t>
      </w:r>
      <w:r w:rsidR="000E6976">
        <w:rPr>
          <w:b/>
        </w:rPr>
        <w:t>ageing</w:t>
      </w:r>
      <w:r w:rsidRPr="006B7627">
        <w:rPr>
          <w:b/>
        </w:rPr>
        <w:t xml:space="preserve"> population:</w:t>
      </w:r>
      <w:r w:rsidR="00565DBE">
        <w:rPr>
          <w:b/>
        </w:rPr>
        <w:t xml:space="preserve">  </w:t>
      </w:r>
    </w:p>
    <w:p w:rsidR="000118A3" w:rsidRPr="000118A3" w:rsidRDefault="000118A3" w:rsidP="000118A3">
      <w:pPr>
        <w:pStyle w:val="ListParagraph"/>
        <w:numPr>
          <w:ilvl w:val="1"/>
          <w:numId w:val="20"/>
        </w:numPr>
        <w:spacing w:after="120" w:line="240" w:lineRule="auto"/>
        <w:contextualSpacing w:val="0"/>
        <w:jc w:val="both"/>
      </w:pPr>
      <w:r w:rsidRPr="00C51D8B">
        <w:rPr>
          <w:rFonts w:cs="Arial"/>
        </w:rPr>
        <w:t xml:space="preserve">Tasmania has the oldest population profile in Australia and the population is projected to experience </w:t>
      </w:r>
      <w:r w:rsidR="000E6976">
        <w:rPr>
          <w:rFonts w:cs="Arial"/>
        </w:rPr>
        <w:t>ageing</w:t>
      </w:r>
      <w:r w:rsidRPr="00C51D8B">
        <w:rPr>
          <w:rFonts w:cs="Arial"/>
        </w:rPr>
        <w:t xml:space="preserve"> more rapidly.</w:t>
      </w:r>
    </w:p>
    <w:p w:rsidR="006B7627" w:rsidRDefault="006B7627" w:rsidP="000118A3">
      <w:pPr>
        <w:pStyle w:val="ListParagraph"/>
        <w:numPr>
          <w:ilvl w:val="1"/>
          <w:numId w:val="20"/>
        </w:numPr>
        <w:spacing w:after="120" w:line="240" w:lineRule="auto"/>
        <w:contextualSpacing w:val="0"/>
        <w:jc w:val="both"/>
      </w:pPr>
      <w:r>
        <w:rPr>
          <w:rFonts w:cs="Arial"/>
        </w:rPr>
        <w:t>The transport needs of the aged are not well understood</w:t>
      </w:r>
      <w:r w:rsidR="00F26533">
        <w:rPr>
          <w:rFonts w:cs="Arial"/>
        </w:rPr>
        <w:t>.</w:t>
      </w:r>
      <w:r>
        <w:t xml:space="preserve"> </w:t>
      </w:r>
    </w:p>
    <w:p w:rsidR="000118A3" w:rsidRPr="0035032F" w:rsidRDefault="000118A3" w:rsidP="000118A3">
      <w:pPr>
        <w:pStyle w:val="ListParagraph"/>
        <w:numPr>
          <w:ilvl w:val="1"/>
          <w:numId w:val="20"/>
        </w:numPr>
        <w:spacing w:after="120" w:line="240" w:lineRule="auto"/>
        <w:contextualSpacing w:val="0"/>
        <w:jc w:val="both"/>
      </w:pPr>
      <w:r>
        <w:t xml:space="preserve">Public transport </w:t>
      </w:r>
      <w:r w:rsidR="006C5BBF">
        <w:t>cannot always accommodate</w:t>
      </w:r>
      <w:r>
        <w:t xml:space="preserve"> the needs of older people, especially those with restricted mobility. </w:t>
      </w:r>
    </w:p>
    <w:p w:rsidR="002B5F96" w:rsidRPr="006B7627" w:rsidRDefault="000118A3" w:rsidP="002B5F96">
      <w:pPr>
        <w:pStyle w:val="ListParagraph"/>
        <w:numPr>
          <w:ilvl w:val="0"/>
          <w:numId w:val="20"/>
        </w:numPr>
        <w:spacing w:after="120" w:line="240" w:lineRule="auto"/>
        <w:ind w:left="714" w:hanging="357"/>
        <w:contextualSpacing w:val="0"/>
        <w:jc w:val="both"/>
        <w:rPr>
          <w:b/>
        </w:rPr>
      </w:pPr>
      <w:r w:rsidRPr="006B7627">
        <w:rPr>
          <w:b/>
        </w:rPr>
        <w:t>Social exclusion:</w:t>
      </w:r>
    </w:p>
    <w:p w:rsidR="000118A3" w:rsidRPr="006B7627" w:rsidRDefault="000118A3" w:rsidP="000118A3">
      <w:pPr>
        <w:pStyle w:val="ListParagraph"/>
        <w:numPr>
          <w:ilvl w:val="1"/>
          <w:numId w:val="20"/>
        </w:numPr>
        <w:spacing w:after="120" w:line="240" w:lineRule="auto"/>
        <w:contextualSpacing w:val="0"/>
        <w:jc w:val="both"/>
      </w:pPr>
      <w:r>
        <w:t xml:space="preserve">Lack of access to transport can </w:t>
      </w:r>
      <w:r w:rsidRPr="000A4A51">
        <w:rPr>
          <w:rFonts w:cs="Arial"/>
        </w:rPr>
        <w:t>affect people’s sense of wellbeing and quality of</w:t>
      </w:r>
      <w:r>
        <w:rPr>
          <w:rFonts w:cs="Arial"/>
        </w:rPr>
        <w:t xml:space="preserve"> life</w:t>
      </w:r>
      <w:r>
        <w:t xml:space="preserve"> </w:t>
      </w:r>
      <w:r>
        <w:rPr>
          <w:rFonts w:cs="Arial"/>
        </w:rPr>
        <w:t>leading to social exclusion.</w:t>
      </w:r>
    </w:p>
    <w:p w:rsidR="006B7627" w:rsidRPr="006B7627" w:rsidRDefault="006B7627" w:rsidP="000118A3">
      <w:pPr>
        <w:pStyle w:val="ListParagraph"/>
        <w:numPr>
          <w:ilvl w:val="1"/>
          <w:numId w:val="20"/>
        </w:numPr>
        <w:spacing w:after="120" w:line="240" w:lineRule="auto"/>
        <w:contextualSpacing w:val="0"/>
        <w:jc w:val="both"/>
      </w:pPr>
      <w:r>
        <w:rPr>
          <w:rFonts w:ascii="ArialMT" w:hAnsi="ArialMT" w:cs="ArialMT"/>
        </w:rPr>
        <w:t>Transport plays an importa</w:t>
      </w:r>
      <w:r w:rsidR="00473FAB">
        <w:rPr>
          <w:rFonts w:ascii="ArialMT" w:hAnsi="ArialMT" w:cs="ArialMT"/>
        </w:rPr>
        <w:t>nt role in making people feel</w:t>
      </w:r>
      <w:r>
        <w:rPr>
          <w:rFonts w:ascii="ArialMT" w:hAnsi="ArialMT" w:cs="ArialMT"/>
        </w:rPr>
        <w:t xml:space="preserve"> connected with others and the community at large.</w:t>
      </w:r>
    </w:p>
    <w:p w:rsidR="006B7627" w:rsidRPr="0035032F" w:rsidRDefault="006B7627" w:rsidP="000118A3">
      <w:pPr>
        <w:pStyle w:val="ListParagraph"/>
        <w:numPr>
          <w:ilvl w:val="1"/>
          <w:numId w:val="20"/>
        </w:numPr>
        <w:spacing w:after="120" w:line="240" w:lineRule="auto"/>
        <w:contextualSpacing w:val="0"/>
        <w:jc w:val="both"/>
      </w:pPr>
      <w:r>
        <w:rPr>
          <w:rFonts w:ascii="ArialMT" w:hAnsi="ArialMT" w:cs="ArialMT"/>
        </w:rPr>
        <w:t>There are pockets of high transport disadvantage along the Transit Corridor in Glenorchy, Moonah and North Hobart.</w:t>
      </w:r>
    </w:p>
    <w:p w:rsidR="002B5F96" w:rsidRPr="006B7627" w:rsidRDefault="002B5F96" w:rsidP="002B5F96">
      <w:pPr>
        <w:pStyle w:val="ListParagraph"/>
        <w:numPr>
          <w:ilvl w:val="0"/>
          <w:numId w:val="20"/>
        </w:numPr>
        <w:spacing w:after="120" w:line="240" w:lineRule="auto"/>
        <w:ind w:left="714" w:hanging="357"/>
        <w:contextualSpacing w:val="0"/>
        <w:jc w:val="both"/>
        <w:rPr>
          <w:b/>
        </w:rPr>
      </w:pPr>
      <w:r w:rsidRPr="006B7627">
        <w:rPr>
          <w:b/>
        </w:rPr>
        <w:t>Low levels of physical activity</w:t>
      </w:r>
      <w:r w:rsidR="000118A3" w:rsidRPr="006B7627">
        <w:rPr>
          <w:b/>
        </w:rPr>
        <w:t>:</w:t>
      </w:r>
    </w:p>
    <w:p w:rsidR="000118A3" w:rsidRPr="000118A3" w:rsidRDefault="000118A3" w:rsidP="001E5686">
      <w:pPr>
        <w:pStyle w:val="ListParagraph"/>
        <w:numPr>
          <w:ilvl w:val="1"/>
          <w:numId w:val="20"/>
        </w:numPr>
        <w:autoSpaceDE w:val="0"/>
        <w:autoSpaceDN w:val="0"/>
        <w:adjustRightInd w:val="0"/>
        <w:spacing w:after="120" w:line="240" w:lineRule="auto"/>
        <w:ind w:left="1434" w:hanging="357"/>
        <w:contextualSpacing w:val="0"/>
        <w:jc w:val="both"/>
        <w:rPr>
          <w:rFonts w:cs="Arial"/>
          <w:color w:val="000000"/>
        </w:rPr>
      </w:pPr>
      <w:r w:rsidRPr="000118A3">
        <w:rPr>
          <w:rFonts w:cs="Arial"/>
          <w:color w:val="000000"/>
        </w:rPr>
        <w:t xml:space="preserve">Currently, 69 </w:t>
      </w:r>
      <w:r w:rsidR="0036420A">
        <w:rPr>
          <w:rFonts w:cs="Arial"/>
          <w:color w:val="000000"/>
        </w:rPr>
        <w:t>per cent</w:t>
      </w:r>
      <w:r w:rsidRPr="000118A3">
        <w:rPr>
          <w:rFonts w:cs="Arial"/>
          <w:color w:val="000000"/>
        </w:rPr>
        <w:t xml:space="preserve"> of Tasmani</w:t>
      </w:r>
      <w:r>
        <w:rPr>
          <w:rFonts w:cs="Arial"/>
          <w:color w:val="000000"/>
        </w:rPr>
        <w:t>ans are not sufficiently active</w:t>
      </w:r>
      <w:r w:rsidR="008420DB">
        <w:rPr>
          <w:rFonts w:cs="Arial"/>
          <w:color w:val="000000"/>
        </w:rPr>
        <w:t xml:space="preserve"> </w:t>
      </w:r>
      <w:r w:rsidR="00457A73">
        <w:rPr>
          <w:rFonts w:cs="Arial"/>
          <w:color w:val="000000"/>
        </w:rPr>
        <w:t>(</w:t>
      </w:r>
      <w:r w:rsidR="00457A73" w:rsidRPr="009575DC">
        <w:rPr>
          <w:rFonts w:cs="Arial"/>
          <w:color w:val="000000"/>
        </w:rPr>
        <w:t>DHHS, 2011</w:t>
      </w:r>
      <w:r w:rsidR="00457A73">
        <w:rPr>
          <w:rFonts w:cs="Arial"/>
          <w:color w:val="000000"/>
        </w:rPr>
        <w:t>)</w:t>
      </w:r>
      <w:r>
        <w:rPr>
          <w:rFonts w:cs="Arial"/>
          <w:color w:val="000000"/>
        </w:rPr>
        <w:t>.</w:t>
      </w:r>
    </w:p>
    <w:p w:rsidR="000118A3" w:rsidRPr="006B7627" w:rsidRDefault="000118A3" w:rsidP="001E5686">
      <w:pPr>
        <w:pStyle w:val="ListParagraph"/>
        <w:numPr>
          <w:ilvl w:val="1"/>
          <w:numId w:val="20"/>
        </w:numPr>
        <w:spacing w:after="120" w:line="240" w:lineRule="auto"/>
        <w:ind w:left="1434" w:hanging="357"/>
        <w:contextualSpacing w:val="0"/>
        <w:jc w:val="both"/>
      </w:pPr>
      <w:r>
        <w:rPr>
          <w:rFonts w:ascii="GillSansMT" w:hAnsi="GillSansMT" w:cs="GillSansMT"/>
        </w:rPr>
        <w:t>Undertaking sufficient levels of physical activity is important for maintaining good health and helps prevent disease</w:t>
      </w:r>
      <w:r w:rsidR="001E5686">
        <w:rPr>
          <w:rFonts w:ascii="GillSansMT" w:hAnsi="GillSansMT" w:cs="GillSansMT"/>
        </w:rPr>
        <w:t>.</w:t>
      </w:r>
    </w:p>
    <w:p w:rsidR="006B7627" w:rsidRPr="0035032F" w:rsidRDefault="006B7627" w:rsidP="001E5686">
      <w:pPr>
        <w:pStyle w:val="ListParagraph"/>
        <w:numPr>
          <w:ilvl w:val="1"/>
          <w:numId w:val="20"/>
        </w:numPr>
        <w:spacing w:after="120" w:line="240" w:lineRule="auto"/>
        <w:ind w:left="1434" w:hanging="357"/>
        <w:contextualSpacing w:val="0"/>
        <w:jc w:val="both"/>
      </w:pPr>
      <w:r>
        <w:rPr>
          <w:rFonts w:cs="Arial"/>
          <w:color w:val="272525"/>
        </w:rPr>
        <w:lastRenderedPageBreak/>
        <w:t>High levels of car dependency contribute to lower levels of physical activity.</w:t>
      </w:r>
    </w:p>
    <w:p w:rsidR="002B5F96" w:rsidRPr="006B7627" w:rsidRDefault="001E5686" w:rsidP="002B5F96">
      <w:pPr>
        <w:pStyle w:val="ListParagraph"/>
        <w:numPr>
          <w:ilvl w:val="0"/>
          <w:numId w:val="20"/>
        </w:numPr>
        <w:spacing w:after="120" w:line="240" w:lineRule="auto"/>
        <w:ind w:left="714" w:hanging="357"/>
        <w:contextualSpacing w:val="0"/>
        <w:jc w:val="both"/>
        <w:rPr>
          <w:b/>
        </w:rPr>
      </w:pPr>
      <w:r w:rsidRPr="006B7627">
        <w:rPr>
          <w:b/>
        </w:rPr>
        <w:t>High reliance on cars:</w:t>
      </w:r>
    </w:p>
    <w:p w:rsidR="001E5686" w:rsidRDefault="001E5686" w:rsidP="001E5686">
      <w:pPr>
        <w:pStyle w:val="ListParagraph"/>
        <w:numPr>
          <w:ilvl w:val="1"/>
          <w:numId w:val="20"/>
        </w:numPr>
        <w:spacing w:after="120" w:line="240" w:lineRule="auto"/>
        <w:contextualSpacing w:val="0"/>
        <w:jc w:val="both"/>
      </w:pPr>
      <w:r w:rsidRPr="00EB33D6">
        <w:t xml:space="preserve">Greater Hobart has a high reliance on cars, with </w:t>
      </w:r>
      <w:r>
        <w:t>78.8</w:t>
      </w:r>
      <w:r w:rsidRPr="00EB33D6">
        <w:t xml:space="preserve"> </w:t>
      </w:r>
      <w:r w:rsidR="0036420A">
        <w:t>per cent</w:t>
      </w:r>
      <w:r w:rsidRPr="00EB33D6">
        <w:t xml:space="preserve"> of </w:t>
      </w:r>
      <w:r>
        <w:t>journey to work trips</w:t>
      </w:r>
      <w:r w:rsidRPr="00EB33D6">
        <w:t xml:space="preserve"> </w:t>
      </w:r>
      <w:r w:rsidR="006B7627">
        <w:t>undertaken by the car</w:t>
      </w:r>
      <w:r w:rsidR="008420DB">
        <w:t xml:space="preserve"> (ABS 2006)</w:t>
      </w:r>
      <w:r w:rsidR="006B7627">
        <w:t>.</w:t>
      </w:r>
    </w:p>
    <w:p w:rsidR="0036420A" w:rsidRPr="0036420A" w:rsidRDefault="0036420A" w:rsidP="001E5686">
      <w:pPr>
        <w:pStyle w:val="ListParagraph"/>
        <w:numPr>
          <w:ilvl w:val="1"/>
          <w:numId w:val="20"/>
        </w:numPr>
        <w:spacing w:after="120" w:line="240" w:lineRule="auto"/>
        <w:contextualSpacing w:val="0"/>
        <w:jc w:val="both"/>
      </w:pPr>
      <w:r>
        <w:t>Relative under-investment in urban public transport has created a situation where the current services are spread too thinly and do not provide an advantage over the car for the majority of the community.</w:t>
      </w:r>
    </w:p>
    <w:p w:rsidR="001E5686" w:rsidRPr="0035032F" w:rsidRDefault="001E5686" w:rsidP="001E5686">
      <w:pPr>
        <w:pStyle w:val="ListParagraph"/>
        <w:numPr>
          <w:ilvl w:val="1"/>
          <w:numId w:val="20"/>
        </w:numPr>
        <w:spacing w:after="120" w:line="240" w:lineRule="auto"/>
        <w:contextualSpacing w:val="0"/>
        <w:jc w:val="both"/>
      </w:pPr>
      <w:r w:rsidRPr="001E5686">
        <w:rPr>
          <w:rFonts w:cs="Arial"/>
        </w:rPr>
        <w:t xml:space="preserve">High car usage </w:t>
      </w:r>
      <w:r>
        <w:rPr>
          <w:rFonts w:cs="Arial"/>
        </w:rPr>
        <w:t>increases</w:t>
      </w:r>
      <w:r w:rsidRPr="001E5686">
        <w:rPr>
          <w:rFonts w:cs="Arial"/>
        </w:rPr>
        <w:t xml:space="preserve"> greenhouse gas emissions and makes us vulnerable to oil price vulnerability. </w:t>
      </w:r>
    </w:p>
    <w:p w:rsidR="002B5F96" w:rsidRPr="00E96425" w:rsidRDefault="002B5F96" w:rsidP="002B5F96">
      <w:pPr>
        <w:pStyle w:val="ListParagraph"/>
        <w:numPr>
          <w:ilvl w:val="0"/>
          <w:numId w:val="20"/>
        </w:numPr>
        <w:spacing w:after="120" w:line="240" w:lineRule="auto"/>
        <w:ind w:left="714" w:hanging="357"/>
        <w:contextualSpacing w:val="0"/>
        <w:jc w:val="both"/>
        <w:rPr>
          <w:b/>
        </w:rPr>
      </w:pPr>
      <w:r w:rsidRPr="00E96425">
        <w:rPr>
          <w:b/>
        </w:rPr>
        <w:t>Vulnerabi</w:t>
      </w:r>
      <w:r w:rsidR="001E5686" w:rsidRPr="00E96425">
        <w:rPr>
          <w:b/>
        </w:rPr>
        <w:t>lity to increases in oil prices:</w:t>
      </w:r>
    </w:p>
    <w:p w:rsidR="001E5686" w:rsidRDefault="001E5686" w:rsidP="001E5686">
      <w:pPr>
        <w:pStyle w:val="ListParagraph"/>
        <w:numPr>
          <w:ilvl w:val="1"/>
          <w:numId w:val="20"/>
        </w:numPr>
        <w:spacing w:after="120" w:line="240" w:lineRule="auto"/>
        <w:contextualSpacing w:val="0"/>
        <w:jc w:val="both"/>
      </w:pPr>
      <w:r>
        <w:t xml:space="preserve">Tasmania’s transport system is heavily oil dependent and </w:t>
      </w:r>
      <w:r>
        <w:rPr>
          <w:rFonts w:cs="Arial"/>
        </w:rPr>
        <w:t>exposed</w:t>
      </w:r>
      <w:r w:rsidRPr="00366E3E">
        <w:rPr>
          <w:rFonts w:cs="Arial"/>
        </w:rPr>
        <w:t xml:space="preserve"> to</w:t>
      </w:r>
      <w:r>
        <w:rPr>
          <w:rFonts w:cs="Arial"/>
        </w:rPr>
        <w:t xml:space="preserve"> increases in</w:t>
      </w:r>
      <w:r w:rsidRPr="00366E3E">
        <w:rPr>
          <w:rFonts w:cs="Arial"/>
        </w:rPr>
        <w:t xml:space="preserve"> </w:t>
      </w:r>
      <w:r>
        <w:rPr>
          <w:rFonts w:cs="Arial"/>
        </w:rPr>
        <w:t>oil prices</w:t>
      </w:r>
      <w:r w:rsidRPr="00366E3E">
        <w:rPr>
          <w:rFonts w:cs="Arial"/>
        </w:rPr>
        <w:t xml:space="preserve"> and disruptions </w:t>
      </w:r>
      <w:r>
        <w:rPr>
          <w:rFonts w:cs="Arial"/>
        </w:rPr>
        <w:t>to supply</w:t>
      </w:r>
      <w:r>
        <w:t>.</w:t>
      </w:r>
    </w:p>
    <w:p w:rsidR="00E96425" w:rsidRDefault="00E96425" w:rsidP="001E5686">
      <w:pPr>
        <w:pStyle w:val="ListParagraph"/>
        <w:numPr>
          <w:ilvl w:val="1"/>
          <w:numId w:val="20"/>
        </w:numPr>
        <w:spacing w:after="120" w:line="240" w:lineRule="auto"/>
        <w:contextualSpacing w:val="0"/>
        <w:jc w:val="both"/>
      </w:pPr>
      <w:r w:rsidRPr="00366E3E">
        <w:rPr>
          <w:rFonts w:cs="Arial"/>
        </w:rPr>
        <w:t xml:space="preserve">Where people </w:t>
      </w:r>
      <w:r>
        <w:rPr>
          <w:rFonts w:cs="Arial"/>
        </w:rPr>
        <w:t xml:space="preserve">do not </w:t>
      </w:r>
      <w:r w:rsidRPr="00366E3E">
        <w:rPr>
          <w:rFonts w:cs="Arial"/>
        </w:rPr>
        <w:t>have</w:t>
      </w:r>
      <w:r>
        <w:rPr>
          <w:rFonts w:cs="Arial"/>
        </w:rPr>
        <w:t xml:space="preserve"> reliable </w:t>
      </w:r>
      <w:r w:rsidRPr="00366E3E">
        <w:rPr>
          <w:rFonts w:cs="Arial"/>
        </w:rPr>
        <w:t>access to public transport</w:t>
      </w:r>
      <w:r>
        <w:rPr>
          <w:rFonts w:cs="Arial"/>
        </w:rPr>
        <w:t xml:space="preserve"> and are reliant on the car</w:t>
      </w:r>
      <w:r w:rsidRPr="00366E3E">
        <w:rPr>
          <w:rFonts w:cs="Arial"/>
        </w:rPr>
        <w:t>, their</w:t>
      </w:r>
      <w:r>
        <w:rPr>
          <w:rFonts w:cs="Arial"/>
        </w:rPr>
        <w:t xml:space="preserve"> transport costs will increase, this is particularly the case for people living in outer urban and rural areas.</w:t>
      </w:r>
    </w:p>
    <w:p w:rsidR="008420DB" w:rsidRPr="008420DB" w:rsidRDefault="002B5F96" w:rsidP="008420DB">
      <w:pPr>
        <w:pStyle w:val="ListParagraph"/>
        <w:numPr>
          <w:ilvl w:val="0"/>
          <w:numId w:val="20"/>
        </w:numPr>
        <w:spacing w:after="120" w:line="240" w:lineRule="auto"/>
        <w:ind w:left="714" w:hanging="357"/>
        <w:contextualSpacing w:val="0"/>
        <w:jc w:val="both"/>
        <w:rPr>
          <w:b/>
        </w:rPr>
      </w:pPr>
      <w:r w:rsidRPr="00E96425">
        <w:rPr>
          <w:b/>
        </w:rPr>
        <w:t>Contribution to gr</w:t>
      </w:r>
      <w:r w:rsidR="001E5686" w:rsidRPr="00E96425">
        <w:rPr>
          <w:b/>
        </w:rPr>
        <w:t>eenhouse gas emissions:</w:t>
      </w:r>
    </w:p>
    <w:p w:rsidR="001E5686" w:rsidRDefault="008420DB" w:rsidP="001E5686">
      <w:pPr>
        <w:pStyle w:val="ListParagraph"/>
        <w:numPr>
          <w:ilvl w:val="1"/>
          <w:numId w:val="20"/>
        </w:numPr>
        <w:autoSpaceDE w:val="0"/>
        <w:autoSpaceDN w:val="0"/>
        <w:adjustRightInd w:val="0"/>
        <w:spacing w:after="120" w:line="240" w:lineRule="auto"/>
        <w:ind w:left="1434" w:hanging="357"/>
        <w:contextualSpacing w:val="0"/>
        <w:jc w:val="both"/>
        <w:rPr>
          <w:rFonts w:cs="Arial"/>
          <w:color w:val="000000"/>
        </w:rPr>
      </w:pPr>
      <w:r w:rsidRPr="001E5686">
        <w:rPr>
          <w:rFonts w:cs="Arial"/>
          <w:color w:val="000000"/>
        </w:rPr>
        <w:t xml:space="preserve">Transport is the second largest producer of greenhouse gas emissions in Tasmania, producing 21 </w:t>
      </w:r>
      <w:r>
        <w:rPr>
          <w:rFonts w:cs="Arial"/>
          <w:color w:val="000000"/>
        </w:rPr>
        <w:t>per cent</w:t>
      </w:r>
      <w:r w:rsidRPr="001E5686">
        <w:rPr>
          <w:rFonts w:cs="Arial"/>
          <w:color w:val="000000"/>
        </w:rPr>
        <w:t xml:space="preserve"> of all of Tasmania’s emissions in 2007</w:t>
      </w:r>
      <w:r>
        <w:rPr>
          <w:rFonts w:cs="Arial"/>
          <w:color w:val="000000"/>
        </w:rPr>
        <w:t xml:space="preserve"> </w:t>
      </w:r>
      <w:r w:rsidRPr="008420DB">
        <w:rPr>
          <w:rFonts w:cs="Arial"/>
          <w:color w:val="000000"/>
        </w:rPr>
        <w:t>(</w:t>
      </w:r>
      <w:r w:rsidRPr="008420DB">
        <w:t>Australian Greenhouse Emissions Inventory System)</w:t>
      </w:r>
      <w:r w:rsidRPr="008420DB">
        <w:rPr>
          <w:rFonts w:cs="Arial"/>
          <w:color w:val="000000"/>
        </w:rPr>
        <w:t>.</w:t>
      </w:r>
    </w:p>
    <w:p w:rsidR="001E5686" w:rsidRPr="001E5686" w:rsidRDefault="001E5686" w:rsidP="001E5686">
      <w:pPr>
        <w:pStyle w:val="ListParagraph"/>
        <w:numPr>
          <w:ilvl w:val="1"/>
          <w:numId w:val="20"/>
        </w:numPr>
        <w:autoSpaceDE w:val="0"/>
        <w:autoSpaceDN w:val="0"/>
        <w:adjustRightInd w:val="0"/>
        <w:spacing w:after="120" w:line="240" w:lineRule="auto"/>
        <w:ind w:left="1434" w:hanging="357"/>
        <w:contextualSpacing w:val="0"/>
        <w:jc w:val="both"/>
        <w:rPr>
          <w:rFonts w:cs="Arial"/>
          <w:color w:val="000000"/>
        </w:rPr>
      </w:pPr>
      <w:r w:rsidRPr="001E5686">
        <w:rPr>
          <w:rFonts w:cs="Arial"/>
          <w:color w:val="000000"/>
        </w:rPr>
        <w:t xml:space="preserve">92 </w:t>
      </w:r>
      <w:r w:rsidR="0036420A">
        <w:rPr>
          <w:rFonts w:cs="Arial"/>
          <w:color w:val="000000"/>
        </w:rPr>
        <w:t>per cent</w:t>
      </w:r>
      <w:r w:rsidRPr="001E5686">
        <w:rPr>
          <w:rFonts w:cs="Arial"/>
          <w:color w:val="000000"/>
        </w:rPr>
        <w:t xml:space="preserve"> of transport emissions come from road transport, with cars being the largest contributor</w:t>
      </w:r>
      <w:r w:rsidR="008420DB">
        <w:rPr>
          <w:rFonts w:cs="Arial"/>
          <w:color w:val="000000"/>
        </w:rPr>
        <w:t xml:space="preserve"> </w:t>
      </w:r>
      <w:r w:rsidR="008420DB" w:rsidRPr="008420DB">
        <w:rPr>
          <w:rFonts w:cs="Arial"/>
          <w:color w:val="000000"/>
        </w:rPr>
        <w:t>(</w:t>
      </w:r>
      <w:r w:rsidR="008420DB" w:rsidRPr="008420DB">
        <w:t>Australian Greenhouse Emissions Inventory System)</w:t>
      </w:r>
      <w:r w:rsidR="008420DB" w:rsidRPr="008420DB">
        <w:rPr>
          <w:rFonts w:cs="Arial"/>
          <w:color w:val="000000"/>
        </w:rPr>
        <w:t>.</w:t>
      </w:r>
    </w:p>
    <w:p w:rsidR="001E5686" w:rsidRPr="00E96425" w:rsidRDefault="001E5686" w:rsidP="00E96425">
      <w:pPr>
        <w:pStyle w:val="ListParagraph"/>
        <w:numPr>
          <w:ilvl w:val="0"/>
          <w:numId w:val="20"/>
        </w:numPr>
        <w:spacing w:after="120" w:line="240" w:lineRule="auto"/>
        <w:ind w:hanging="357"/>
        <w:contextualSpacing w:val="0"/>
        <w:jc w:val="both"/>
        <w:rPr>
          <w:b/>
          <w:lang w:val="en-US"/>
        </w:rPr>
      </w:pPr>
      <w:r w:rsidRPr="00E96425">
        <w:rPr>
          <w:b/>
          <w:lang w:val="en-US"/>
        </w:rPr>
        <w:t>Increasing cost of transport infrastructure:</w:t>
      </w:r>
    </w:p>
    <w:p w:rsidR="001E5686" w:rsidRPr="001E5686" w:rsidRDefault="001E5686" w:rsidP="00E96425">
      <w:pPr>
        <w:pStyle w:val="ListParagraph"/>
        <w:numPr>
          <w:ilvl w:val="1"/>
          <w:numId w:val="20"/>
        </w:numPr>
        <w:spacing w:after="120" w:line="240" w:lineRule="auto"/>
        <w:ind w:hanging="357"/>
        <w:contextualSpacing w:val="0"/>
        <w:jc w:val="both"/>
        <w:rPr>
          <w:i/>
          <w:lang w:val="en-US"/>
        </w:rPr>
      </w:pPr>
      <w:r w:rsidRPr="005C6ACA">
        <w:t>Tasmania has a</w:t>
      </w:r>
      <w:r w:rsidRPr="001E5686">
        <w:rPr>
          <w:lang w:val="en-US"/>
        </w:rPr>
        <w:t xml:space="preserve">n extensive and </w:t>
      </w:r>
      <w:r w:rsidR="000E6976">
        <w:rPr>
          <w:lang w:val="en-US"/>
        </w:rPr>
        <w:t>ageing</w:t>
      </w:r>
      <w:r w:rsidRPr="001E5686">
        <w:rPr>
          <w:lang w:val="en-US"/>
        </w:rPr>
        <w:t xml:space="preserve"> transport system with high capital and recurrent maintenance costs. </w:t>
      </w:r>
    </w:p>
    <w:p w:rsidR="001E5686" w:rsidRPr="001E5686" w:rsidRDefault="001E5686" w:rsidP="00E96425">
      <w:pPr>
        <w:pStyle w:val="ListParagraph"/>
        <w:numPr>
          <w:ilvl w:val="1"/>
          <w:numId w:val="20"/>
        </w:numPr>
        <w:spacing w:after="120" w:line="240" w:lineRule="auto"/>
        <w:ind w:hanging="357"/>
        <w:contextualSpacing w:val="0"/>
        <w:jc w:val="both"/>
        <w:rPr>
          <w:i/>
          <w:lang w:val="en-US"/>
        </w:rPr>
      </w:pPr>
      <w:r>
        <w:rPr>
          <w:lang w:val="en-US"/>
        </w:rPr>
        <w:t xml:space="preserve">In today’s financial climate the </w:t>
      </w:r>
      <w:r w:rsidR="000E6976">
        <w:rPr>
          <w:lang w:val="en-US"/>
        </w:rPr>
        <w:t xml:space="preserve">State </w:t>
      </w:r>
      <w:r>
        <w:rPr>
          <w:lang w:val="en-US"/>
        </w:rPr>
        <w:t xml:space="preserve">Government cannot afford to </w:t>
      </w:r>
      <w:r w:rsidR="00E96425">
        <w:rPr>
          <w:lang w:val="en-US"/>
        </w:rPr>
        <w:t>‘</w:t>
      </w:r>
      <w:r>
        <w:rPr>
          <w:lang w:val="en-US"/>
        </w:rPr>
        <w:t>build its way out</w:t>
      </w:r>
      <w:r w:rsidR="00E96425">
        <w:rPr>
          <w:lang w:val="en-US"/>
        </w:rPr>
        <w:t>’</w:t>
      </w:r>
      <w:r>
        <w:rPr>
          <w:lang w:val="en-US"/>
        </w:rPr>
        <w:t xml:space="preserve"> of transport problems.</w:t>
      </w:r>
    </w:p>
    <w:p w:rsidR="00E96425" w:rsidRDefault="001E5686" w:rsidP="00E96425">
      <w:pPr>
        <w:pStyle w:val="ListParagraph"/>
        <w:numPr>
          <w:ilvl w:val="1"/>
          <w:numId w:val="20"/>
        </w:numPr>
        <w:spacing w:after="120" w:line="240" w:lineRule="auto"/>
        <w:ind w:hanging="357"/>
        <w:contextualSpacing w:val="0"/>
        <w:jc w:val="both"/>
        <w:rPr>
          <w:rFonts w:cs="Arial"/>
        </w:rPr>
      </w:pPr>
      <w:r w:rsidRPr="007B1DCA">
        <w:rPr>
          <w:rFonts w:cs="Arial"/>
        </w:rPr>
        <w:t>Providing new roads induce</w:t>
      </w:r>
      <w:r w:rsidR="0036420A">
        <w:rPr>
          <w:rFonts w:cs="Arial"/>
        </w:rPr>
        <w:t>s</w:t>
      </w:r>
      <w:r w:rsidRPr="007B1DCA">
        <w:rPr>
          <w:rFonts w:cs="Arial"/>
        </w:rPr>
        <w:t xml:space="preserve"> </w:t>
      </w:r>
      <w:r w:rsidR="0036420A">
        <w:rPr>
          <w:rFonts w:cs="Arial"/>
        </w:rPr>
        <w:t xml:space="preserve">new </w:t>
      </w:r>
      <w:r w:rsidRPr="007B1DCA">
        <w:rPr>
          <w:rFonts w:cs="Arial"/>
        </w:rPr>
        <w:t>demand</w:t>
      </w:r>
      <w:r w:rsidR="0036420A">
        <w:rPr>
          <w:rFonts w:cs="Arial"/>
        </w:rPr>
        <w:t xml:space="preserve"> for private travel on those roads</w:t>
      </w:r>
      <w:r>
        <w:rPr>
          <w:rFonts w:cs="Arial"/>
        </w:rPr>
        <w:t xml:space="preserve">, </w:t>
      </w:r>
      <w:r w:rsidR="0036420A">
        <w:rPr>
          <w:rFonts w:cs="Arial"/>
        </w:rPr>
        <w:t xml:space="preserve">which is ultimately counter-productive because it </w:t>
      </w:r>
      <w:r>
        <w:rPr>
          <w:rFonts w:cs="Arial"/>
        </w:rPr>
        <w:t>increas</w:t>
      </w:r>
      <w:r w:rsidR="0036420A">
        <w:rPr>
          <w:rFonts w:cs="Arial"/>
        </w:rPr>
        <w:t>es</w:t>
      </w:r>
      <w:r>
        <w:rPr>
          <w:rFonts w:cs="Arial"/>
        </w:rPr>
        <w:t xml:space="preserve"> congestion in the longer term.</w:t>
      </w:r>
    </w:p>
    <w:p w:rsidR="00D506B1" w:rsidRPr="00E96425" w:rsidRDefault="00E96425" w:rsidP="00E96425">
      <w:pPr>
        <w:rPr>
          <w:rFonts w:cs="Arial"/>
        </w:rPr>
      </w:pPr>
      <w:r>
        <w:rPr>
          <w:rFonts w:cs="Arial"/>
        </w:rPr>
        <w:br w:type="page"/>
      </w:r>
    </w:p>
    <w:p w:rsidR="0032784B" w:rsidRPr="00D506B1" w:rsidRDefault="0032784B" w:rsidP="00D506B1">
      <w:pPr>
        <w:pStyle w:val="Heading1"/>
      </w:pPr>
      <w:bookmarkStart w:id="1" w:name="_Toc320197768"/>
      <w:bookmarkStart w:id="2" w:name="_Toc326833280"/>
      <w:r w:rsidRPr="00D506B1">
        <w:lastRenderedPageBreak/>
        <w:t>Context</w:t>
      </w:r>
      <w:bookmarkEnd w:id="1"/>
      <w:bookmarkEnd w:id="2"/>
    </w:p>
    <w:p w:rsidR="00F86A2C" w:rsidRPr="00F86A2C" w:rsidRDefault="0080259A" w:rsidP="00511AFB">
      <w:pPr>
        <w:pStyle w:val="Texttoreplace"/>
        <w:spacing w:after="120" w:line="240" w:lineRule="auto"/>
        <w:jc w:val="both"/>
        <w:rPr>
          <w:rFonts w:ascii="Arial" w:hAnsi="Arial" w:cs="Arial"/>
          <w:i w:val="0"/>
          <w:sz w:val="22"/>
          <w:lang w:val="en-GB"/>
        </w:rPr>
      </w:pPr>
      <w:r w:rsidRPr="00F86A2C">
        <w:rPr>
          <w:rFonts w:ascii="Arial" w:hAnsi="Arial" w:cs="Arial"/>
          <w:i w:val="0"/>
          <w:sz w:val="22"/>
          <w:lang w:val="en-GB"/>
        </w:rPr>
        <w:t>Greater Hobart is Tasmania’s largest urban area,</w:t>
      </w:r>
      <w:r w:rsidR="002D0FA2" w:rsidRPr="00F86A2C">
        <w:rPr>
          <w:rFonts w:ascii="Arial" w:hAnsi="Arial" w:cs="Arial"/>
          <w:i w:val="0"/>
          <w:sz w:val="22"/>
          <w:lang w:val="en-GB"/>
        </w:rPr>
        <w:t xml:space="preserve"> with a population of 216, 000</w:t>
      </w:r>
      <w:r w:rsidRPr="00F86A2C">
        <w:rPr>
          <w:rFonts w:ascii="Arial" w:hAnsi="Arial" w:cs="Arial"/>
          <w:i w:val="0"/>
          <w:sz w:val="22"/>
          <w:lang w:val="en-GB"/>
        </w:rPr>
        <w:t xml:space="preserve"> </w:t>
      </w:r>
      <w:r w:rsidR="002D0FA2" w:rsidRPr="00F86A2C">
        <w:rPr>
          <w:rFonts w:ascii="Arial" w:hAnsi="Arial" w:cs="Arial"/>
          <w:i w:val="0"/>
          <w:sz w:val="22"/>
          <w:lang w:val="en-GB"/>
        </w:rPr>
        <w:t xml:space="preserve">(ABS, 2008) </w:t>
      </w:r>
      <w:r w:rsidRPr="00F86A2C">
        <w:rPr>
          <w:rFonts w:ascii="Arial" w:hAnsi="Arial" w:cs="Arial"/>
          <w:i w:val="0"/>
          <w:sz w:val="22"/>
          <w:lang w:val="en-GB"/>
        </w:rPr>
        <w:t xml:space="preserve">and is home to around 40 </w:t>
      </w:r>
      <w:r w:rsidR="0036420A">
        <w:rPr>
          <w:rFonts w:ascii="Arial" w:hAnsi="Arial" w:cs="Arial"/>
          <w:i w:val="0"/>
          <w:sz w:val="22"/>
          <w:lang w:val="en-GB"/>
        </w:rPr>
        <w:t>per cent</w:t>
      </w:r>
      <w:r w:rsidRPr="00F86A2C">
        <w:rPr>
          <w:rFonts w:ascii="Arial" w:hAnsi="Arial" w:cs="Arial"/>
          <w:i w:val="0"/>
          <w:sz w:val="22"/>
          <w:lang w:val="en-GB"/>
        </w:rPr>
        <w:t xml:space="preserve"> of Tasmania’s population. </w:t>
      </w:r>
      <w:r w:rsidRPr="00F86A2C">
        <w:rPr>
          <w:rFonts w:ascii="Arial" w:hAnsi="Arial" w:cs="Arial"/>
          <w:sz w:val="22"/>
          <w:lang w:val="en-GB"/>
        </w:rPr>
        <w:t xml:space="preserve"> </w:t>
      </w:r>
      <w:r w:rsidR="00F86A2C" w:rsidRPr="00F86A2C">
        <w:rPr>
          <w:rFonts w:ascii="Arial" w:hAnsi="Arial" w:cs="Arial"/>
          <w:i w:val="0"/>
          <w:sz w:val="22"/>
          <w:lang w:val="en-GB"/>
        </w:rPr>
        <w:t>Greater Hobart is classified as a ‘smaller city’ using Infrastructure Australia’s classification structure, being the 11</w:t>
      </w:r>
      <w:r w:rsidR="00F86A2C" w:rsidRPr="00F86A2C">
        <w:rPr>
          <w:rFonts w:ascii="Arial" w:hAnsi="Arial" w:cs="Arial"/>
          <w:i w:val="0"/>
          <w:sz w:val="22"/>
          <w:vertAlign w:val="superscript"/>
          <w:lang w:val="en-GB"/>
        </w:rPr>
        <w:t>th</w:t>
      </w:r>
      <w:r w:rsidR="00F86A2C" w:rsidRPr="00F86A2C">
        <w:rPr>
          <w:rFonts w:ascii="Arial" w:hAnsi="Arial" w:cs="Arial"/>
          <w:i w:val="0"/>
          <w:sz w:val="22"/>
          <w:lang w:val="en-GB"/>
        </w:rPr>
        <w:t xml:space="preserve"> largest population centre in Australia. </w:t>
      </w:r>
    </w:p>
    <w:p w:rsidR="00CB30DA" w:rsidRPr="00F86A2C" w:rsidRDefault="002D0FA2" w:rsidP="00511AFB">
      <w:pPr>
        <w:autoSpaceDE w:val="0"/>
        <w:autoSpaceDN w:val="0"/>
        <w:adjustRightInd w:val="0"/>
        <w:spacing w:after="120" w:line="240" w:lineRule="auto"/>
        <w:jc w:val="both"/>
      </w:pPr>
      <w:bookmarkStart w:id="3" w:name="OLE_LINK11"/>
      <w:bookmarkStart w:id="4" w:name="OLE_LINK12"/>
      <w:r>
        <w:rPr>
          <w:rFonts w:cs="Arial"/>
        </w:rPr>
        <w:t>Despite</w:t>
      </w:r>
      <w:r w:rsidRPr="002D0FA2">
        <w:rPr>
          <w:rFonts w:cs="Arial"/>
        </w:rPr>
        <w:t xml:space="preserve"> its relatively</w:t>
      </w:r>
      <w:r>
        <w:rPr>
          <w:rFonts w:cs="Arial"/>
        </w:rPr>
        <w:t xml:space="preserve"> </w:t>
      </w:r>
      <w:r w:rsidRPr="002D0FA2">
        <w:rPr>
          <w:rFonts w:cs="Arial"/>
        </w:rPr>
        <w:t xml:space="preserve">small population, </w:t>
      </w:r>
      <w:r>
        <w:rPr>
          <w:rFonts w:cs="Arial"/>
        </w:rPr>
        <w:t xml:space="preserve">Greater Hobart </w:t>
      </w:r>
      <w:r w:rsidRPr="002D0FA2">
        <w:rPr>
          <w:rFonts w:cs="Arial"/>
        </w:rPr>
        <w:t>has a large geographical footprint and</w:t>
      </w:r>
      <w:r>
        <w:rPr>
          <w:rFonts w:cs="Arial"/>
        </w:rPr>
        <w:t xml:space="preserve"> </w:t>
      </w:r>
      <w:r w:rsidRPr="002D0FA2">
        <w:rPr>
          <w:rFonts w:cs="Arial"/>
        </w:rPr>
        <w:t xml:space="preserve">low density </w:t>
      </w:r>
      <w:r>
        <w:rPr>
          <w:rFonts w:cs="Arial"/>
        </w:rPr>
        <w:t>development pattern</w:t>
      </w:r>
      <w:r w:rsidRPr="002D0FA2">
        <w:rPr>
          <w:rFonts w:cs="Arial"/>
        </w:rPr>
        <w:t>.</w:t>
      </w:r>
      <w:r>
        <w:rPr>
          <w:rFonts w:cs="Arial"/>
        </w:rPr>
        <w:t xml:space="preserve"> On average Greater Hobart has an </w:t>
      </w:r>
      <w:r>
        <w:t>average population d</w:t>
      </w:r>
      <w:r w:rsidR="00C00DD6">
        <w:t xml:space="preserve">ensity of just 12 people per hectare. </w:t>
      </w:r>
    </w:p>
    <w:p w:rsidR="00C00DD6" w:rsidRPr="002D0FA2" w:rsidRDefault="00C00DD6" w:rsidP="00511AFB">
      <w:pPr>
        <w:autoSpaceDE w:val="0"/>
        <w:autoSpaceDN w:val="0"/>
        <w:adjustRightInd w:val="0"/>
        <w:spacing w:after="120" w:line="240" w:lineRule="auto"/>
        <w:jc w:val="both"/>
        <w:rPr>
          <w:rFonts w:cs="Arial"/>
        </w:rPr>
      </w:pPr>
      <w:bookmarkStart w:id="5" w:name="OLE_LINK7"/>
      <w:bookmarkStart w:id="6" w:name="OLE_LINK8"/>
      <w:bookmarkEnd w:id="3"/>
      <w:bookmarkEnd w:id="4"/>
      <w:r>
        <w:rPr>
          <w:rFonts w:cs="Arial"/>
        </w:rPr>
        <w:t xml:space="preserve">There has been a strong trend toward </w:t>
      </w:r>
      <w:r w:rsidR="00202D85">
        <w:rPr>
          <w:rFonts w:cs="Arial"/>
        </w:rPr>
        <w:t xml:space="preserve">housing and population </w:t>
      </w:r>
      <w:r>
        <w:rPr>
          <w:rFonts w:cs="Arial"/>
        </w:rPr>
        <w:t xml:space="preserve">growth in outer urban areas </w:t>
      </w:r>
      <w:r w:rsidR="00202D85" w:rsidRPr="002D0FA2">
        <w:rPr>
          <w:rFonts w:cs="Arial"/>
        </w:rPr>
        <w:t>such as Kingston/</w:t>
      </w:r>
      <w:r w:rsidR="007675A4">
        <w:rPr>
          <w:rFonts w:cs="Arial"/>
        </w:rPr>
        <w:t xml:space="preserve">Blackmans Bay, </w:t>
      </w:r>
      <w:r w:rsidR="00202D85" w:rsidRPr="002D0FA2">
        <w:rPr>
          <w:rFonts w:cs="Arial"/>
        </w:rPr>
        <w:t xml:space="preserve">Margate, </w:t>
      </w:r>
      <w:r w:rsidR="007675A4">
        <w:rPr>
          <w:rFonts w:cs="Arial"/>
        </w:rPr>
        <w:t xml:space="preserve">outer urban areas of Clarence, </w:t>
      </w:r>
      <w:r w:rsidR="00202D85" w:rsidRPr="002D0FA2">
        <w:rPr>
          <w:rFonts w:cs="Arial"/>
        </w:rPr>
        <w:t>Sorell and</w:t>
      </w:r>
      <w:r w:rsidR="00202D85">
        <w:rPr>
          <w:rFonts w:cs="Arial"/>
        </w:rPr>
        <w:t xml:space="preserve"> </w:t>
      </w:r>
      <w:r w:rsidR="00202D85" w:rsidRPr="002D0FA2">
        <w:rPr>
          <w:rFonts w:cs="Arial"/>
        </w:rPr>
        <w:t>Brighton</w:t>
      </w:r>
      <w:r w:rsidR="00202D85">
        <w:rPr>
          <w:rFonts w:cs="Arial"/>
        </w:rPr>
        <w:t xml:space="preserve"> </w:t>
      </w:r>
      <w:r>
        <w:rPr>
          <w:rFonts w:cs="Arial"/>
        </w:rPr>
        <w:t>based on ch</w:t>
      </w:r>
      <w:r w:rsidR="00202D85">
        <w:rPr>
          <w:rFonts w:cs="Arial"/>
        </w:rPr>
        <w:t>oice and housing affordability</w:t>
      </w:r>
      <w:r w:rsidRPr="002D0FA2">
        <w:rPr>
          <w:rFonts w:cs="Arial"/>
        </w:rPr>
        <w:t>.</w:t>
      </w:r>
      <w:r>
        <w:rPr>
          <w:rFonts w:cs="Arial"/>
        </w:rPr>
        <w:t xml:space="preserve"> </w:t>
      </w:r>
    </w:p>
    <w:p w:rsidR="000919B7" w:rsidRDefault="00C00DD6" w:rsidP="00511AFB">
      <w:pPr>
        <w:autoSpaceDE w:val="0"/>
        <w:autoSpaceDN w:val="0"/>
        <w:adjustRightInd w:val="0"/>
        <w:spacing w:after="120" w:line="240" w:lineRule="auto"/>
        <w:jc w:val="both"/>
        <w:rPr>
          <w:rFonts w:cs="Arial"/>
        </w:rPr>
      </w:pPr>
      <w:r w:rsidRPr="002D0FA2">
        <w:rPr>
          <w:rFonts w:cs="Arial"/>
        </w:rPr>
        <w:t xml:space="preserve">The pattern of development in Greater Hobart has a significant impact on </w:t>
      </w:r>
      <w:r>
        <w:rPr>
          <w:rFonts w:cs="Arial"/>
        </w:rPr>
        <w:t>how the transport system is used</w:t>
      </w:r>
      <w:r w:rsidR="000919B7">
        <w:rPr>
          <w:rFonts w:cs="Arial"/>
        </w:rPr>
        <w:t>:</w:t>
      </w:r>
    </w:p>
    <w:p w:rsidR="000919B7" w:rsidRPr="000919B7" w:rsidRDefault="000919B7" w:rsidP="00F53395">
      <w:pPr>
        <w:pStyle w:val="ListParagraph"/>
        <w:numPr>
          <w:ilvl w:val="0"/>
          <w:numId w:val="4"/>
        </w:numPr>
        <w:autoSpaceDE w:val="0"/>
        <w:autoSpaceDN w:val="0"/>
        <w:adjustRightInd w:val="0"/>
        <w:spacing w:after="120" w:line="240" w:lineRule="auto"/>
        <w:contextualSpacing w:val="0"/>
        <w:jc w:val="both"/>
        <w:rPr>
          <w:rFonts w:cs="Arial"/>
        </w:rPr>
      </w:pPr>
      <w:r w:rsidRPr="00C00DD6">
        <w:rPr>
          <w:rFonts w:cs="Arial"/>
        </w:rPr>
        <w:t xml:space="preserve">Limited local employment opportunities and essential services </w:t>
      </w:r>
      <w:r>
        <w:rPr>
          <w:rFonts w:cs="Arial"/>
        </w:rPr>
        <w:t xml:space="preserve">in outer urban areas </w:t>
      </w:r>
      <w:r w:rsidRPr="00C00DD6">
        <w:rPr>
          <w:rFonts w:cs="Arial"/>
        </w:rPr>
        <w:t>meaning people travel</w:t>
      </w:r>
      <w:r>
        <w:rPr>
          <w:rFonts w:cs="Arial"/>
        </w:rPr>
        <w:t xml:space="preserve"> </w:t>
      </w:r>
      <w:r w:rsidRPr="000919B7">
        <w:rPr>
          <w:rFonts w:cs="Arial"/>
        </w:rPr>
        <w:t>more and further to go to work, school or to shop.</w:t>
      </w:r>
    </w:p>
    <w:p w:rsidR="000919B7" w:rsidRPr="00C00DD6" w:rsidRDefault="000919B7" w:rsidP="00F53395">
      <w:pPr>
        <w:pStyle w:val="ListParagraph"/>
        <w:numPr>
          <w:ilvl w:val="0"/>
          <w:numId w:val="4"/>
        </w:numPr>
        <w:autoSpaceDE w:val="0"/>
        <w:autoSpaceDN w:val="0"/>
        <w:adjustRightInd w:val="0"/>
        <w:spacing w:after="120" w:line="240" w:lineRule="auto"/>
        <w:contextualSpacing w:val="0"/>
        <w:jc w:val="both"/>
        <w:rPr>
          <w:rFonts w:cs="Arial"/>
        </w:rPr>
      </w:pPr>
      <w:r w:rsidRPr="00C00DD6">
        <w:rPr>
          <w:rFonts w:cs="Arial"/>
        </w:rPr>
        <w:t>A high reliance on cars f</w:t>
      </w:r>
      <w:r w:rsidR="00E52A9A">
        <w:rPr>
          <w:rFonts w:cs="Arial"/>
        </w:rPr>
        <w:t xml:space="preserve">or private travel with a high </w:t>
      </w:r>
      <w:r w:rsidRPr="00C00DD6">
        <w:rPr>
          <w:rFonts w:cs="Arial"/>
        </w:rPr>
        <w:t>number of car trips.</w:t>
      </w:r>
    </w:p>
    <w:p w:rsidR="000B0906" w:rsidRPr="00511AFB" w:rsidRDefault="000919B7" w:rsidP="00F53395">
      <w:pPr>
        <w:pStyle w:val="ListParagraph"/>
        <w:numPr>
          <w:ilvl w:val="0"/>
          <w:numId w:val="4"/>
        </w:numPr>
        <w:autoSpaceDE w:val="0"/>
        <w:autoSpaceDN w:val="0"/>
        <w:adjustRightInd w:val="0"/>
        <w:spacing w:after="120" w:line="240" w:lineRule="auto"/>
        <w:contextualSpacing w:val="0"/>
        <w:jc w:val="both"/>
        <w:rPr>
          <w:rFonts w:cs="Arial"/>
        </w:rPr>
      </w:pPr>
      <w:r w:rsidRPr="00C00DD6">
        <w:rPr>
          <w:rFonts w:cs="Arial"/>
        </w:rPr>
        <w:t>Difficulty in providing public transport services as fewer houses are distributed across</w:t>
      </w:r>
      <w:r>
        <w:rPr>
          <w:rFonts w:cs="Arial"/>
        </w:rPr>
        <w:t xml:space="preserve"> </w:t>
      </w:r>
      <w:r w:rsidRPr="000919B7">
        <w:rPr>
          <w:rFonts w:cs="Arial"/>
        </w:rPr>
        <w:t xml:space="preserve">greater distances than in inner urban areas. </w:t>
      </w:r>
      <w:bookmarkEnd w:id="5"/>
      <w:bookmarkEnd w:id="6"/>
    </w:p>
    <w:p w:rsidR="00805EE1" w:rsidRDefault="00805EE1" w:rsidP="00E52A9A">
      <w:pPr>
        <w:pStyle w:val="Heading1"/>
        <w:rPr>
          <w:lang w:val="en-GB"/>
        </w:rPr>
      </w:pPr>
      <w:bookmarkStart w:id="7" w:name="_Toc320197769"/>
      <w:bookmarkStart w:id="8" w:name="_Toc326833281"/>
      <w:r>
        <w:rPr>
          <w:lang w:val="en-GB"/>
        </w:rPr>
        <w:t>Focus on Hobart’s Northern Suburbs</w:t>
      </w:r>
      <w:bookmarkEnd w:id="7"/>
      <w:bookmarkEnd w:id="8"/>
    </w:p>
    <w:p w:rsidR="00F86A2C" w:rsidRDefault="00F86A2C" w:rsidP="00511AFB">
      <w:pPr>
        <w:pStyle w:val="Texttoreplace"/>
        <w:spacing w:after="120" w:line="240" w:lineRule="auto"/>
        <w:jc w:val="both"/>
        <w:rPr>
          <w:rFonts w:ascii="Arial" w:hAnsi="Arial" w:cs="Arial"/>
          <w:i w:val="0"/>
          <w:sz w:val="22"/>
          <w:lang w:val="en-GB"/>
        </w:rPr>
      </w:pPr>
      <w:r>
        <w:rPr>
          <w:rFonts w:ascii="Arial" w:hAnsi="Arial" w:cs="Arial"/>
          <w:i w:val="0"/>
          <w:sz w:val="22"/>
          <w:lang w:val="en-GB"/>
        </w:rPr>
        <w:t>Hobart’s N</w:t>
      </w:r>
      <w:r w:rsidRPr="009229C0">
        <w:rPr>
          <w:rFonts w:ascii="Arial" w:hAnsi="Arial" w:cs="Arial"/>
          <w:i w:val="0"/>
          <w:sz w:val="22"/>
          <w:lang w:val="en-GB"/>
        </w:rPr>
        <w:t xml:space="preserve">orthern </w:t>
      </w:r>
      <w:r>
        <w:rPr>
          <w:rFonts w:ascii="Arial" w:hAnsi="Arial" w:cs="Arial"/>
          <w:i w:val="0"/>
          <w:sz w:val="22"/>
          <w:lang w:val="en-GB"/>
        </w:rPr>
        <w:t>S</w:t>
      </w:r>
      <w:r w:rsidRPr="009229C0">
        <w:rPr>
          <w:rFonts w:ascii="Arial" w:hAnsi="Arial" w:cs="Arial"/>
          <w:i w:val="0"/>
          <w:sz w:val="22"/>
          <w:lang w:val="en-GB"/>
        </w:rPr>
        <w:t>uburbs</w:t>
      </w:r>
      <w:r>
        <w:rPr>
          <w:rFonts w:ascii="Arial" w:hAnsi="Arial" w:cs="Arial"/>
          <w:i w:val="0"/>
          <w:sz w:val="22"/>
          <w:lang w:val="en-GB"/>
        </w:rPr>
        <w:t xml:space="preserve"> extend</w:t>
      </w:r>
      <w:r w:rsidRPr="009229C0">
        <w:rPr>
          <w:rFonts w:ascii="Arial" w:hAnsi="Arial" w:cs="Arial"/>
          <w:i w:val="0"/>
          <w:sz w:val="22"/>
          <w:lang w:val="en-GB"/>
        </w:rPr>
        <w:t xml:space="preserve"> along the </w:t>
      </w:r>
      <w:r w:rsidR="00787812">
        <w:rPr>
          <w:rFonts w:ascii="Arial" w:hAnsi="Arial" w:cs="Arial"/>
          <w:i w:val="0"/>
          <w:sz w:val="22"/>
          <w:lang w:val="en-GB"/>
        </w:rPr>
        <w:t>W</w:t>
      </w:r>
      <w:r w:rsidRPr="009229C0">
        <w:rPr>
          <w:rFonts w:ascii="Arial" w:hAnsi="Arial" w:cs="Arial"/>
          <w:i w:val="0"/>
          <w:sz w:val="22"/>
          <w:lang w:val="en-GB"/>
        </w:rPr>
        <w:t xml:space="preserve">estern </w:t>
      </w:r>
      <w:r w:rsidR="00787812">
        <w:rPr>
          <w:rFonts w:ascii="Arial" w:hAnsi="Arial" w:cs="Arial"/>
          <w:i w:val="0"/>
          <w:sz w:val="22"/>
          <w:lang w:val="en-GB"/>
        </w:rPr>
        <w:t>S</w:t>
      </w:r>
      <w:r w:rsidRPr="009229C0">
        <w:rPr>
          <w:rFonts w:ascii="Arial" w:hAnsi="Arial" w:cs="Arial"/>
          <w:i w:val="0"/>
          <w:sz w:val="22"/>
          <w:lang w:val="en-GB"/>
        </w:rPr>
        <w:t>hore of the Derwent River</w:t>
      </w:r>
      <w:r w:rsidR="00E96425">
        <w:rPr>
          <w:rFonts w:ascii="Arial" w:hAnsi="Arial" w:cs="Arial"/>
          <w:i w:val="0"/>
          <w:sz w:val="22"/>
          <w:lang w:val="en-GB"/>
        </w:rPr>
        <w:t>,</w:t>
      </w:r>
      <w:r w:rsidRPr="009229C0">
        <w:rPr>
          <w:rFonts w:ascii="Arial" w:hAnsi="Arial" w:cs="Arial"/>
          <w:i w:val="0"/>
          <w:sz w:val="22"/>
          <w:lang w:val="en-GB"/>
        </w:rPr>
        <w:t xml:space="preserve"> </w:t>
      </w:r>
      <w:r w:rsidR="009C42E9">
        <w:rPr>
          <w:rFonts w:ascii="Arial" w:hAnsi="Arial" w:cs="Arial"/>
          <w:i w:val="0"/>
          <w:sz w:val="22"/>
          <w:lang w:val="en-GB"/>
        </w:rPr>
        <w:t>north of</w:t>
      </w:r>
      <w:r w:rsidRPr="009229C0">
        <w:rPr>
          <w:rFonts w:ascii="Arial" w:hAnsi="Arial" w:cs="Arial"/>
          <w:i w:val="0"/>
          <w:sz w:val="22"/>
          <w:lang w:val="en-GB"/>
        </w:rPr>
        <w:t xml:space="preserve"> </w:t>
      </w:r>
      <w:r>
        <w:rPr>
          <w:rFonts w:ascii="Arial" w:hAnsi="Arial" w:cs="Arial"/>
          <w:i w:val="0"/>
          <w:sz w:val="22"/>
          <w:lang w:val="en-GB"/>
        </w:rPr>
        <w:t>Hobart CBD, including Glenorchy</w:t>
      </w:r>
      <w:r w:rsidRPr="009229C0">
        <w:rPr>
          <w:rFonts w:ascii="Arial" w:hAnsi="Arial" w:cs="Arial"/>
          <w:i w:val="0"/>
          <w:sz w:val="22"/>
          <w:lang w:val="en-GB"/>
        </w:rPr>
        <w:t xml:space="preserve"> and </w:t>
      </w:r>
      <w:r>
        <w:rPr>
          <w:rFonts w:ascii="Arial" w:hAnsi="Arial" w:cs="Arial"/>
          <w:i w:val="0"/>
          <w:sz w:val="22"/>
          <w:lang w:val="en-GB"/>
        </w:rPr>
        <w:t>as far as the township of Brighton. This area</w:t>
      </w:r>
      <w:r w:rsidRPr="009229C0">
        <w:rPr>
          <w:rFonts w:ascii="Arial" w:hAnsi="Arial" w:cs="Arial"/>
          <w:i w:val="0"/>
          <w:sz w:val="22"/>
          <w:lang w:val="en-GB"/>
        </w:rPr>
        <w:t xml:space="preserve"> </w:t>
      </w:r>
      <w:r>
        <w:rPr>
          <w:rFonts w:ascii="Arial" w:hAnsi="Arial" w:cs="Arial"/>
          <w:i w:val="0"/>
          <w:sz w:val="22"/>
          <w:lang w:val="en-GB"/>
        </w:rPr>
        <w:t xml:space="preserve">contains </w:t>
      </w:r>
      <w:r w:rsidRPr="002518F0">
        <w:rPr>
          <w:rFonts w:ascii="Arial" w:hAnsi="Arial" w:cs="Arial"/>
          <w:i w:val="0"/>
          <w:sz w:val="22"/>
          <w:lang w:val="en-GB"/>
        </w:rPr>
        <w:t xml:space="preserve">approximately </w:t>
      </w:r>
      <w:r w:rsidRPr="009C42E9">
        <w:rPr>
          <w:rFonts w:ascii="Arial" w:hAnsi="Arial" w:cs="Arial"/>
          <w:i w:val="0"/>
          <w:sz w:val="22"/>
          <w:lang w:val="en-GB"/>
        </w:rPr>
        <w:t xml:space="preserve">30 </w:t>
      </w:r>
      <w:r w:rsidR="0036420A">
        <w:rPr>
          <w:rFonts w:ascii="Arial" w:hAnsi="Arial" w:cs="Arial"/>
          <w:i w:val="0"/>
          <w:sz w:val="22"/>
          <w:lang w:val="en-GB"/>
        </w:rPr>
        <w:t>per cent</w:t>
      </w:r>
      <w:r w:rsidRPr="002518F0">
        <w:rPr>
          <w:rFonts w:ascii="Arial" w:hAnsi="Arial" w:cs="Arial"/>
          <w:i w:val="0"/>
          <w:sz w:val="22"/>
          <w:lang w:val="en-GB"/>
        </w:rPr>
        <w:t xml:space="preserve"> </w:t>
      </w:r>
      <w:r>
        <w:rPr>
          <w:rFonts w:ascii="Arial" w:hAnsi="Arial" w:cs="Arial"/>
          <w:i w:val="0"/>
          <w:sz w:val="22"/>
          <w:lang w:val="en-GB"/>
        </w:rPr>
        <w:t>of the city’s overall population.  The area is a mixture of resident</w:t>
      </w:r>
      <w:r w:rsidR="00745802">
        <w:rPr>
          <w:rFonts w:ascii="Arial" w:hAnsi="Arial" w:cs="Arial"/>
          <w:i w:val="0"/>
          <w:sz w:val="22"/>
          <w:lang w:val="en-GB"/>
        </w:rPr>
        <w:t>ial and commercial development with l</w:t>
      </w:r>
      <w:r>
        <w:rPr>
          <w:rFonts w:ascii="Arial" w:hAnsi="Arial" w:cs="Arial"/>
          <w:i w:val="0"/>
          <w:sz w:val="22"/>
          <w:lang w:val="en-GB"/>
        </w:rPr>
        <w:t>ight and heavy industrial activities concentrat</w:t>
      </w:r>
      <w:r w:rsidR="00977679">
        <w:rPr>
          <w:rFonts w:ascii="Arial" w:hAnsi="Arial" w:cs="Arial"/>
          <w:i w:val="0"/>
          <w:sz w:val="22"/>
          <w:lang w:val="en-GB"/>
        </w:rPr>
        <w:t>ed in th</w:t>
      </w:r>
      <w:r w:rsidR="00E52A9A">
        <w:rPr>
          <w:rFonts w:ascii="Arial" w:hAnsi="Arial" w:cs="Arial"/>
          <w:i w:val="0"/>
          <w:sz w:val="22"/>
          <w:lang w:val="en-GB"/>
        </w:rPr>
        <w:t>e areas of Derwent Park, Moonah, Lutana and Brighton.</w:t>
      </w:r>
    </w:p>
    <w:p w:rsidR="00977679" w:rsidRDefault="0041773A" w:rsidP="00511AFB">
      <w:pPr>
        <w:pStyle w:val="Texttoreplace"/>
        <w:spacing w:after="120" w:line="240" w:lineRule="auto"/>
        <w:jc w:val="both"/>
        <w:rPr>
          <w:rFonts w:ascii="Arial" w:hAnsi="Arial" w:cs="Arial"/>
          <w:i w:val="0"/>
          <w:sz w:val="22"/>
          <w:lang w:val="en-GB"/>
        </w:rPr>
      </w:pPr>
      <w:r>
        <w:rPr>
          <w:rFonts w:ascii="Arial" w:hAnsi="Arial" w:cs="Arial"/>
          <w:i w:val="0"/>
          <w:sz w:val="22"/>
          <w:lang w:val="en-GB"/>
        </w:rPr>
        <w:t xml:space="preserve">The Northern Suburbs between the Hobart CBD and Glenorchy activity centre has been identified as an opportunity for infill development within the </w:t>
      </w:r>
      <w:r w:rsidRPr="0041773A">
        <w:rPr>
          <w:rFonts w:ascii="Arial" w:hAnsi="Arial" w:cs="Arial"/>
          <w:sz w:val="22"/>
          <w:lang w:val="en-GB"/>
        </w:rPr>
        <w:t>Southern Regional Land Use Strategy</w:t>
      </w:r>
      <w:r>
        <w:rPr>
          <w:rFonts w:ascii="Arial" w:hAnsi="Arial" w:cs="Arial"/>
          <w:i w:val="0"/>
          <w:sz w:val="22"/>
          <w:lang w:val="en-GB"/>
        </w:rPr>
        <w:t xml:space="preserve">. </w:t>
      </w:r>
      <w:r w:rsidR="00805EE1">
        <w:rPr>
          <w:rFonts w:ascii="Arial" w:hAnsi="Arial" w:cs="Arial"/>
          <w:i w:val="0"/>
          <w:sz w:val="22"/>
          <w:lang w:val="en-GB"/>
        </w:rPr>
        <w:t xml:space="preserve">Infill development close to the </w:t>
      </w:r>
      <w:r w:rsidR="007930EE">
        <w:rPr>
          <w:rFonts w:ascii="Arial" w:hAnsi="Arial" w:cs="Arial"/>
          <w:i w:val="0"/>
          <w:sz w:val="22"/>
          <w:lang w:val="en-GB"/>
        </w:rPr>
        <w:t>Transit</w:t>
      </w:r>
      <w:r w:rsidR="00805EE1">
        <w:rPr>
          <w:rFonts w:ascii="Arial" w:hAnsi="Arial" w:cs="Arial"/>
          <w:i w:val="0"/>
          <w:sz w:val="22"/>
          <w:lang w:val="en-GB"/>
        </w:rPr>
        <w:t xml:space="preserve"> </w:t>
      </w:r>
      <w:r w:rsidR="007930EE">
        <w:rPr>
          <w:rFonts w:ascii="Arial" w:hAnsi="Arial" w:cs="Arial"/>
          <w:i w:val="0"/>
          <w:sz w:val="22"/>
          <w:lang w:val="en-GB"/>
        </w:rPr>
        <w:t>C</w:t>
      </w:r>
      <w:r w:rsidR="00805EE1">
        <w:rPr>
          <w:rFonts w:ascii="Arial" w:hAnsi="Arial" w:cs="Arial"/>
          <w:i w:val="0"/>
          <w:sz w:val="22"/>
          <w:lang w:val="en-GB"/>
        </w:rPr>
        <w:t>orridor provides opportunities to increase density in inner urban areas which are well serviced by existing infrastructure including public transport</w:t>
      </w:r>
      <w:r w:rsidR="001D007A">
        <w:rPr>
          <w:rFonts w:ascii="Arial" w:hAnsi="Arial" w:cs="Arial"/>
          <w:i w:val="0"/>
          <w:sz w:val="22"/>
          <w:lang w:val="en-GB"/>
        </w:rPr>
        <w:t>.</w:t>
      </w:r>
      <w:r w:rsidR="00805EE1">
        <w:rPr>
          <w:rFonts w:ascii="Arial" w:hAnsi="Arial" w:cs="Arial"/>
          <w:i w:val="0"/>
          <w:sz w:val="22"/>
          <w:lang w:val="en-GB"/>
        </w:rPr>
        <w:t xml:space="preserve"> </w:t>
      </w:r>
      <w:r w:rsidR="001D007A">
        <w:rPr>
          <w:rFonts w:ascii="Arial" w:hAnsi="Arial" w:cs="Arial"/>
          <w:i w:val="0"/>
          <w:sz w:val="22"/>
          <w:lang w:val="en-GB"/>
        </w:rPr>
        <w:t xml:space="preserve">The </w:t>
      </w:r>
      <w:r w:rsidR="007930EE">
        <w:rPr>
          <w:rFonts w:ascii="Arial" w:hAnsi="Arial" w:cs="Arial"/>
          <w:i w:val="0"/>
          <w:sz w:val="22"/>
          <w:lang w:val="en-GB"/>
        </w:rPr>
        <w:t>Transit</w:t>
      </w:r>
      <w:r w:rsidR="001D007A">
        <w:rPr>
          <w:rFonts w:ascii="Arial" w:hAnsi="Arial" w:cs="Arial"/>
          <w:i w:val="0"/>
          <w:sz w:val="22"/>
          <w:lang w:val="en-GB"/>
        </w:rPr>
        <w:t xml:space="preserve"> </w:t>
      </w:r>
      <w:r w:rsidR="007930EE">
        <w:rPr>
          <w:rFonts w:ascii="Arial" w:hAnsi="Arial" w:cs="Arial"/>
          <w:i w:val="0"/>
          <w:sz w:val="22"/>
          <w:lang w:val="en-GB"/>
        </w:rPr>
        <w:t>C</w:t>
      </w:r>
      <w:r w:rsidR="001D007A">
        <w:rPr>
          <w:rFonts w:ascii="Arial" w:hAnsi="Arial" w:cs="Arial"/>
          <w:i w:val="0"/>
          <w:sz w:val="22"/>
          <w:lang w:val="en-GB"/>
        </w:rPr>
        <w:t>orridor is also well serviced in terms of</w:t>
      </w:r>
      <w:r w:rsidR="00805EE1">
        <w:rPr>
          <w:rFonts w:ascii="Arial" w:hAnsi="Arial" w:cs="Arial"/>
          <w:i w:val="0"/>
          <w:sz w:val="22"/>
          <w:lang w:val="en-GB"/>
        </w:rPr>
        <w:t xml:space="preserve"> activity centres which provide employment, access to services and shopping opportunities. </w:t>
      </w:r>
    </w:p>
    <w:p w:rsidR="001D007A" w:rsidRDefault="001D007A" w:rsidP="00511AFB">
      <w:pPr>
        <w:pStyle w:val="Texttoreplace"/>
        <w:spacing w:after="120" w:line="240" w:lineRule="auto"/>
        <w:jc w:val="both"/>
        <w:rPr>
          <w:rFonts w:ascii="Arial" w:hAnsi="Arial" w:cs="Arial"/>
          <w:i w:val="0"/>
          <w:sz w:val="22"/>
          <w:lang w:val="en-GB"/>
        </w:rPr>
      </w:pPr>
      <w:r>
        <w:rPr>
          <w:rFonts w:ascii="Arial" w:hAnsi="Arial" w:cs="Arial"/>
          <w:i w:val="0"/>
          <w:sz w:val="22"/>
          <w:lang w:val="en-GB"/>
        </w:rPr>
        <w:t xml:space="preserve">Focusing on the Northern Suburbs between Hobart CBD and Glenorchy will help to reduce car dependence as people will live closer to higher frequency public transport routes and activity centres, meaning that people will have to travel less distance to </w:t>
      </w:r>
      <w:r w:rsidR="00E52A9A">
        <w:rPr>
          <w:rFonts w:ascii="Arial" w:hAnsi="Arial" w:cs="Arial"/>
          <w:i w:val="0"/>
          <w:sz w:val="22"/>
          <w:lang w:val="en-GB"/>
        </w:rPr>
        <w:t xml:space="preserve">access </w:t>
      </w:r>
      <w:r>
        <w:rPr>
          <w:rFonts w:ascii="Arial" w:hAnsi="Arial" w:cs="Arial"/>
          <w:i w:val="0"/>
          <w:sz w:val="22"/>
          <w:lang w:val="en-GB"/>
        </w:rPr>
        <w:t xml:space="preserve">work </w:t>
      </w:r>
      <w:r w:rsidR="00E52A9A">
        <w:rPr>
          <w:rFonts w:ascii="Arial" w:hAnsi="Arial" w:cs="Arial"/>
          <w:i w:val="0"/>
          <w:sz w:val="22"/>
          <w:lang w:val="en-GB"/>
        </w:rPr>
        <w:t>and</w:t>
      </w:r>
      <w:r>
        <w:rPr>
          <w:rFonts w:ascii="Arial" w:hAnsi="Arial" w:cs="Arial"/>
          <w:i w:val="0"/>
          <w:sz w:val="22"/>
          <w:lang w:val="en-GB"/>
        </w:rPr>
        <w:t xml:space="preserve"> shopping and will have greater modal choice in their trip making.  </w:t>
      </w:r>
    </w:p>
    <w:p w:rsidR="001D007A" w:rsidRDefault="007930EE" w:rsidP="00E52A9A">
      <w:pPr>
        <w:pStyle w:val="Heading1"/>
      </w:pPr>
      <w:bookmarkStart w:id="9" w:name="_Toc320197770"/>
      <w:bookmarkStart w:id="10" w:name="_Toc326833282"/>
      <w:r>
        <w:t>Transit</w:t>
      </w:r>
      <w:r w:rsidR="00C53C7F">
        <w:t xml:space="preserve"> corridor</w:t>
      </w:r>
      <w:bookmarkEnd w:id="9"/>
      <w:bookmarkEnd w:id="10"/>
    </w:p>
    <w:p w:rsidR="00595919" w:rsidRDefault="000B0906" w:rsidP="00511AFB">
      <w:pPr>
        <w:autoSpaceDE w:val="0"/>
        <w:autoSpaceDN w:val="0"/>
        <w:adjustRightInd w:val="0"/>
        <w:spacing w:after="120" w:line="240" w:lineRule="auto"/>
        <w:jc w:val="both"/>
        <w:rPr>
          <w:rFonts w:cs="Arial"/>
        </w:rPr>
      </w:pPr>
      <w:r>
        <w:rPr>
          <w:rFonts w:cs="Arial"/>
        </w:rPr>
        <w:t xml:space="preserve">The </w:t>
      </w:r>
      <w:r w:rsidR="007930EE">
        <w:rPr>
          <w:rFonts w:cs="Arial"/>
        </w:rPr>
        <w:t>Transit</w:t>
      </w:r>
      <w:r>
        <w:rPr>
          <w:rFonts w:cs="Arial"/>
        </w:rPr>
        <w:t xml:space="preserve"> </w:t>
      </w:r>
      <w:r w:rsidR="007930EE">
        <w:rPr>
          <w:rFonts w:cs="Arial"/>
        </w:rPr>
        <w:t>C</w:t>
      </w:r>
      <w:r>
        <w:rPr>
          <w:rFonts w:cs="Arial"/>
        </w:rPr>
        <w:t>orridor extends from the Hobart CBD through to Glenorchy b</w:t>
      </w:r>
      <w:r w:rsidR="007930EE">
        <w:rPr>
          <w:rFonts w:cs="Arial"/>
        </w:rPr>
        <w:t>us mall for the purposes of this</w:t>
      </w:r>
      <w:r w:rsidR="001D007A">
        <w:rPr>
          <w:rFonts w:cs="Arial"/>
        </w:rPr>
        <w:t xml:space="preserve"> </w:t>
      </w:r>
      <w:r>
        <w:rPr>
          <w:rFonts w:cs="Arial"/>
        </w:rPr>
        <w:t xml:space="preserve">project. </w:t>
      </w:r>
      <w:r w:rsidR="007930EE">
        <w:rPr>
          <w:rFonts w:cs="Arial"/>
        </w:rPr>
        <w:t>The Corridor</w:t>
      </w:r>
      <w:r>
        <w:rPr>
          <w:rFonts w:cs="Arial"/>
        </w:rPr>
        <w:t xml:space="preserve"> passes through the suburbs of North Hobart, New Town</w:t>
      </w:r>
      <w:r w:rsidR="00595919">
        <w:rPr>
          <w:rFonts w:cs="Arial"/>
        </w:rPr>
        <w:t xml:space="preserve">, Moonah and Glenorchy. </w:t>
      </w:r>
      <w:bookmarkStart w:id="11" w:name="OLE_LINK23"/>
      <w:bookmarkStart w:id="12" w:name="OLE_LINK24"/>
      <w:r w:rsidR="00595919">
        <w:rPr>
          <w:rFonts w:cs="Arial"/>
        </w:rPr>
        <w:t xml:space="preserve">It is an important public transport route not only in terms of linking the activity centres </w:t>
      </w:r>
      <w:r w:rsidR="00D641BC">
        <w:rPr>
          <w:rFonts w:cs="Arial"/>
        </w:rPr>
        <w:t xml:space="preserve">along the </w:t>
      </w:r>
      <w:r w:rsidR="007930EE">
        <w:rPr>
          <w:rFonts w:cs="Arial"/>
        </w:rPr>
        <w:t>C</w:t>
      </w:r>
      <w:r w:rsidR="00D641BC">
        <w:rPr>
          <w:rFonts w:cs="Arial"/>
        </w:rPr>
        <w:t>orridor</w:t>
      </w:r>
      <w:r w:rsidR="00595919">
        <w:rPr>
          <w:rFonts w:cs="Arial"/>
        </w:rPr>
        <w:t xml:space="preserve">, but is an important through </w:t>
      </w:r>
      <w:r w:rsidR="003826F5">
        <w:rPr>
          <w:rFonts w:cs="Arial"/>
        </w:rPr>
        <w:t xml:space="preserve">public transport </w:t>
      </w:r>
      <w:r w:rsidR="00595919">
        <w:rPr>
          <w:rFonts w:cs="Arial"/>
        </w:rPr>
        <w:t>route linking the outer Northern Suburbs (Claremont, Bridgewater and Brighton) to Glenorchy and Hobart CBD.</w:t>
      </w:r>
    </w:p>
    <w:p w:rsidR="00C53C7F" w:rsidRPr="00D91DFF" w:rsidRDefault="00D641BC" w:rsidP="00511AFB">
      <w:pPr>
        <w:autoSpaceDE w:val="0"/>
        <w:autoSpaceDN w:val="0"/>
        <w:adjustRightInd w:val="0"/>
        <w:spacing w:after="120" w:line="240" w:lineRule="auto"/>
        <w:jc w:val="both"/>
        <w:rPr>
          <w:rFonts w:cs="Arial"/>
        </w:rPr>
      </w:pPr>
      <w:r w:rsidRPr="00D91DFF">
        <w:rPr>
          <w:rFonts w:cs="Arial"/>
        </w:rPr>
        <w:lastRenderedPageBreak/>
        <w:t xml:space="preserve">The </w:t>
      </w:r>
      <w:r w:rsidR="007930EE">
        <w:rPr>
          <w:rFonts w:cs="Arial"/>
        </w:rPr>
        <w:t>Corridor</w:t>
      </w:r>
      <w:r w:rsidRPr="00D91DFF">
        <w:rPr>
          <w:rFonts w:cs="Arial"/>
        </w:rPr>
        <w:t xml:space="preserve"> passes through some of Greater Hobart’s denser r</w:t>
      </w:r>
      <w:r w:rsidR="001567FE" w:rsidRPr="00D91DFF">
        <w:rPr>
          <w:rFonts w:cs="Arial"/>
        </w:rPr>
        <w:t>esidential areas</w:t>
      </w:r>
      <w:r w:rsidR="00D91DFF" w:rsidRPr="00D91DFF">
        <w:rPr>
          <w:rFonts w:cs="Arial"/>
        </w:rPr>
        <w:t xml:space="preserve">. </w:t>
      </w:r>
      <w:r w:rsidR="00753BCB" w:rsidRPr="00D91DFF">
        <w:rPr>
          <w:rFonts w:cs="Arial"/>
        </w:rPr>
        <w:t xml:space="preserve">This </w:t>
      </w:r>
      <w:r w:rsidR="001567FE" w:rsidRPr="00D91DFF">
        <w:rPr>
          <w:rFonts w:cs="Arial"/>
        </w:rPr>
        <w:t xml:space="preserve">level of </w:t>
      </w:r>
      <w:r w:rsidR="00753BCB" w:rsidRPr="00D91DFF">
        <w:rPr>
          <w:rFonts w:cs="Arial"/>
        </w:rPr>
        <w:t xml:space="preserve">density means that </w:t>
      </w:r>
      <w:r w:rsidR="00FE6756" w:rsidRPr="00D91DFF">
        <w:rPr>
          <w:rFonts w:cs="Arial"/>
        </w:rPr>
        <w:t>18 090 people liv</w:t>
      </w:r>
      <w:r w:rsidR="00753BCB" w:rsidRPr="00D91DFF">
        <w:rPr>
          <w:rFonts w:cs="Arial"/>
        </w:rPr>
        <w:t>e</w:t>
      </w:r>
      <w:r w:rsidR="00FE6756" w:rsidRPr="00D91DFF">
        <w:rPr>
          <w:rFonts w:cs="Arial"/>
        </w:rPr>
        <w:t xml:space="preserve"> with walking distance </w:t>
      </w:r>
      <w:r w:rsidR="00D91DFF">
        <w:rPr>
          <w:rFonts w:cs="Arial"/>
        </w:rPr>
        <w:t xml:space="preserve">(0-800 metres) of the </w:t>
      </w:r>
      <w:r w:rsidR="007930EE">
        <w:rPr>
          <w:rFonts w:cs="Arial"/>
        </w:rPr>
        <w:t>Corridor</w:t>
      </w:r>
      <w:r w:rsidR="00D91DFF">
        <w:rPr>
          <w:rFonts w:cs="Arial"/>
        </w:rPr>
        <w:t>,</w:t>
      </w:r>
      <w:r w:rsidR="00753BCB" w:rsidRPr="00D91DFF">
        <w:rPr>
          <w:rFonts w:cs="Arial"/>
        </w:rPr>
        <w:t xml:space="preserve"> </w:t>
      </w:r>
      <w:r w:rsidR="00D91DFF" w:rsidRPr="00D91DFF">
        <w:rPr>
          <w:rFonts w:cs="Arial"/>
        </w:rPr>
        <w:t>translating</w:t>
      </w:r>
      <w:r w:rsidR="00753BCB" w:rsidRPr="00D91DFF">
        <w:rPr>
          <w:rFonts w:cs="Arial"/>
        </w:rPr>
        <w:t xml:space="preserve"> to </w:t>
      </w:r>
      <w:r w:rsidR="003826F5" w:rsidRPr="00D91DFF">
        <w:rPr>
          <w:rFonts w:cs="Arial"/>
        </w:rPr>
        <w:t>8</w:t>
      </w:r>
      <w:r w:rsidR="00595919" w:rsidRPr="00D91DFF">
        <w:rPr>
          <w:rFonts w:cs="Arial"/>
        </w:rPr>
        <w:t xml:space="preserve"> </w:t>
      </w:r>
      <w:r w:rsidR="0036420A">
        <w:rPr>
          <w:rFonts w:cs="Arial"/>
        </w:rPr>
        <w:t>per cent</w:t>
      </w:r>
      <w:r w:rsidR="00595919" w:rsidRPr="00D91DFF">
        <w:rPr>
          <w:rFonts w:cs="Arial"/>
        </w:rPr>
        <w:t xml:space="preserve"> of Greater Hobart’s population</w:t>
      </w:r>
      <w:r w:rsidR="008420DB">
        <w:rPr>
          <w:rFonts w:cs="Arial"/>
        </w:rPr>
        <w:t xml:space="preserve"> (DIER 2012)</w:t>
      </w:r>
      <w:r w:rsidR="00595919" w:rsidRPr="00D91DFF">
        <w:rPr>
          <w:rFonts w:cs="Arial"/>
        </w:rPr>
        <w:t xml:space="preserve">. </w:t>
      </w:r>
    </w:p>
    <w:p w:rsidR="002446BA" w:rsidRDefault="00D91DFF" w:rsidP="00511AFB">
      <w:pPr>
        <w:autoSpaceDE w:val="0"/>
        <w:autoSpaceDN w:val="0"/>
        <w:adjustRightInd w:val="0"/>
        <w:spacing w:after="120" w:line="240" w:lineRule="auto"/>
        <w:jc w:val="both"/>
        <w:rPr>
          <w:rFonts w:cs="Arial"/>
        </w:rPr>
      </w:pPr>
      <w:r>
        <w:rPr>
          <w:rFonts w:cs="Arial"/>
        </w:rPr>
        <w:t>The Transit Corridor services a large population catchment. T</w:t>
      </w:r>
      <w:r w:rsidR="00753BCB" w:rsidRPr="00D91DFF">
        <w:rPr>
          <w:rFonts w:cs="Arial"/>
        </w:rPr>
        <w:t xml:space="preserve">he Northern Suburbs has a high penetration bus network </w:t>
      </w:r>
      <w:r>
        <w:rPr>
          <w:rFonts w:cs="Arial"/>
        </w:rPr>
        <w:t>with</w:t>
      </w:r>
      <w:r w:rsidR="00B325C1">
        <w:rPr>
          <w:rFonts w:cs="Arial"/>
        </w:rPr>
        <w:t xml:space="preserve"> most Northern Suburb buses using</w:t>
      </w:r>
      <w:r w:rsidR="00753BCB" w:rsidRPr="00D91DFF">
        <w:rPr>
          <w:rFonts w:cs="Arial"/>
        </w:rPr>
        <w:t xml:space="preserve"> some part of the </w:t>
      </w:r>
      <w:r w:rsidR="007930EE">
        <w:rPr>
          <w:rFonts w:cs="Arial"/>
        </w:rPr>
        <w:t>Corridor</w:t>
      </w:r>
      <w:r w:rsidR="00B325C1">
        <w:rPr>
          <w:rFonts w:cs="Arial"/>
        </w:rPr>
        <w:t xml:space="preserve">. </w:t>
      </w:r>
      <w:r w:rsidR="00E52A9A">
        <w:rPr>
          <w:rFonts w:cs="Arial"/>
        </w:rPr>
        <w:t>In effect,</w:t>
      </w:r>
      <w:r w:rsidR="00753BCB" w:rsidRPr="00D91DFF">
        <w:rPr>
          <w:rFonts w:cs="Arial"/>
        </w:rPr>
        <w:t xml:space="preserve"> the </w:t>
      </w:r>
      <w:r w:rsidR="007930EE">
        <w:rPr>
          <w:rFonts w:cs="Arial"/>
        </w:rPr>
        <w:t>Corridor</w:t>
      </w:r>
      <w:r w:rsidR="00753BCB" w:rsidRPr="00D91DFF">
        <w:rPr>
          <w:rFonts w:cs="Arial"/>
        </w:rPr>
        <w:t xml:space="preserve"> services a population catchment of</w:t>
      </w:r>
      <w:r w:rsidR="00745802">
        <w:rPr>
          <w:rFonts w:cs="Arial"/>
        </w:rPr>
        <w:t xml:space="preserve"> 71 </w:t>
      </w:r>
      <w:r w:rsidR="001567FE" w:rsidRPr="00D91DFF">
        <w:rPr>
          <w:rFonts w:cs="Arial"/>
        </w:rPr>
        <w:t>180</w:t>
      </w:r>
      <w:r w:rsidR="00753BCB" w:rsidRPr="00D91DFF">
        <w:rPr>
          <w:rFonts w:cs="Arial"/>
        </w:rPr>
        <w:t xml:space="preserve"> which</w:t>
      </w:r>
      <w:r w:rsidR="003826F5" w:rsidRPr="00D91DFF">
        <w:rPr>
          <w:rFonts w:cs="Arial"/>
        </w:rPr>
        <w:t xml:space="preserve"> is 3</w:t>
      </w:r>
      <w:r w:rsidR="00745802">
        <w:rPr>
          <w:rFonts w:cs="Arial"/>
        </w:rPr>
        <w:t>0</w:t>
      </w:r>
      <w:r w:rsidR="003826F5" w:rsidRPr="00D91DFF">
        <w:rPr>
          <w:rFonts w:cs="Arial"/>
        </w:rPr>
        <w:t xml:space="preserve"> </w:t>
      </w:r>
      <w:r w:rsidR="0036420A">
        <w:rPr>
          <w:rFonts w:cs="Arial"/>
        </w:rPr>
        <w:t>per cent</w:t>
      </w:r>
      <w:r w:rsidR="003826F5" w:rsidRPr="00D91DFF">
        <w:rPr>
          <w:rFonts w:cs="Arial"/>
        </w:rPr>
        <w:t xml:space="preserve"> of Greater Hobart’s population</w:t>
      </w:r>
      <w:r w:rsidR="008420DB">
        <w:rPr>
          <w:rFonts w:cs="Arial"/>
        </w:rPr>
        <w:t xml:space="preserve"> (DIER 2012)</w:t>
      </w:r>
      <w:r w:rsidR="003826F5" w:rsidRPr="00D91DFF">
        <w:rPr>
          <w:rFonts w:cs="Arial"/>
        </w:rPr>
        <w:t xml:space="preserve">. This catchment includes </w:t>
      </w:r>
      <w:r w:rsidR="00640D13" w:rsidRPr="00D91DFF">
        <w:rPr>
          <w:rFonts w:cs="Arial"/>
        </w:rPr>
        <w:t>through route ser</w:t>
      </w:r>
      <w:r w:rsidR="003826F5" w:rsidRPr="00D91DFF">
        <w:rPr>
          <w:rFonts w:cs="Arial"/>
        </w:rPr>
        <w:t>vices feeding i</w:t>
      </w:r>
      <w:r>
        <w:rPr>
          <w:rFonts w:cs="Arial"/>
        </w:rPr>
        <w:t xml:space="preserve">nto the </w:t>
      </w:r>
      <w:r w:rsidR="007930EE">
        <w:rPr>
          <w:rFonts w:cs="Arial"/>
        </w:rPr>
        <w:t>Corridor</w:t>
      </w:r>
      <w:r w:rsidR="00DB5AF8">
        <w:rPr>
          <w:rFonts w:cs="Arial"/>
        </w:rPr>
        <w:t xml:space="preserve"> from Claremont, Bridgewater and </w:t>
      </w:r>
      <w:r w:rsidR="00473FAB">
        <w:rPr>
          <w:rFonts w:cs="Arial"/>
        </w:rPr>
        <w:t>Brighton, with private operators runnin</w:t>
      </w:r>
      <w:r w:rsidR="00DB5AF8">
        <w:rPr>
          <w:rFonts w:cs="Arial"/>
        </w:rPr>
        <w:t xml:space="preserve">g bus services from New Norfolk, Bothwell and </w:t>
      </w:r>
      <w:r w:rsidR="00473FAB">
        <w:rPr>
          <w:rFonts w:cs="Arial"/>
        </w:rPr>
        <w:t>Brighton.</w:t>
      </w:r>
    </w:p>
    <w:p w:rsidR="00640D13" w:rsidRDefault="002446BA" w:rsidP="001567FE">
      <w:pPr>
        <w:autoSpaceDE w:val="0"/>
        <w:autoSpaceDN w:val="0"/>
        <w:adjustRightInd w:val="0"/>
        <w:spacing w:after="120" w:line="240" w:lineRule="auto"/>
        <w:jc w:val="both"/>
        <w:rPr>
          <w:rFonts w:cs="Arial"/>
        </w:rPr>
      </w:pPr>
      <w:r w:rsidRPr="00787812">
        <w:rPr>
          <w:rFonts w:cs="Arial"/>
        </w:rPr>
        <w:t xml:space="preserve">The </w:t>
      </w:r>
      <w:r w:rsidR="007930EE">
        <w:rPr>
          <w:rFonts w:cs="Arial"/>
        </w:rPr>
        <w:t>Transit</w:t>
      </w:r>
      <w:r w:rsidRPr="00787812">
        <w:rPr>
          <w:rFonts w:cs="Arial"/>
        </w:rPr>
        <w:t xml:space="preserve"> </w:t>
      </w:r>
      <w:r w:rsidR="007930EE">
        <w:rPr>
          <w:rFonts w:cs="Arial"/>
        </w:rPr>
        <w:t>C</w:t>
      </w:r>
      <w:r w:rsidRPr="00787812">
        <w:rPr>
          <w:rFonts w:cs="Arial"/>
        </w:rPr>
        <w:t xml:space="preserve">orridor from Glenorchy to Hobart CBD carries </w:t>
      </w:r>
      <w:r w:rsidR="00AA7154">
        <w:rPr>
          <w:rFonts w:cs="Arial"/>
        </w:rPr>
        <w:t xml:space="preserve">on average </w:t>
      </w:r>
      <w:r w:rsidR="00966D5D">
        <w:rPr>
          <w:rFonts w:cs="Arial"/>
        </w:rPr>
        <w:t>56</w:t>
      </w:r>
      <w:r w:rsidR="00DD453B" w:rsidRPr="00787812">
        <w:rPr>
          <w:rFonts w:cs="Arial"/>
        </w:rPr>
        <w:t>00</w:t>
      </w:r>
      <w:r w:rsidRPr="00787812">
        <w:rPr>
          <w:rFonts w:cs="Arial"/>
        </w:rPr>
        <w:t xml:space="preserve"> boardings per </w:t>
      </w:r>
      <w:r w:rsidR="00DD453B" w:rsidRPr="00787812">
        <w:rPr>
          <w:rFonts w:cs="Arial"/>
        </w:rPr>
        <w:t>day</w:t>
      </w:r>
      <w:r w:rsidRPr="00787812">
        <w:rPr>
          <w:rFonts w:cs="Arial"/>
        </w:rPr>
        <w:t xml:space="preserve"> </w:t>
      </w:r>
      <w:r w:rsidR="00E96425">
        <w:rPr>
          <w:rFonts w:cs="Arial"/>
        </w:rPr>
        <w:t xml:space="preserve">(weekdays) </w:t>
      </w:r>
      <w:r w:rsidRPr="00787812">
        <w:rPr>
          <w:rFonts w:cs="Arial"/>
        </w:rPr>
        <w:t xml:space="preserve">which accounted for </w:t>
      </w:r>
      <w:r w:rsidR="00DD453B" w:rsidRPr="00787812">
        <w:rPr>
          <w:rFonts w:cs="Arial"/>
        </w:rPr>
        <w:t>20</w:t>
      </w:r>
      <w:r w:rsidRPr="00787812">
        <w:rPr>
          <w:rFonts w:cs="Arial"/>
        </w:rPr>
        <w:t xml:space="preserve"> </w:t>
      </w:r>
      <w:r w:rsidR="0036420A">
        <w:rPr>
          <w:rFonts w:cs="Arial"/>
        </w:rPr>
        <w:t>per cent</w:t>
      </w:r>
      <w:r w:rsidRPr="00787812">
        <w:rPr>
          <w:rFonts w:cs="Arial"/>
        </w:rPr>
        <w:t xml:space="preserve"> of total Metro boardings in Greater Hobart</w:t>
      </w:r>
      <w:r w:rsidR="00017B0A" w:rsidRPr="00787812">
        <w:rPr>
          <w:rFonts w:cs="Arial"/>
        </w:rPr>
        <w:t xml:space="preserve"> (Metro 2011)</w:t>
      </w:r>
      <w:r w:rsidRPr="00787812">
        <w:rPr>
          <w:rFonts w:cs="Arial"/>
        </w:rPr>
        <w:t>.</w:t>
      </w:r>
      <w:bookmarkEnd w:id="11"/>
      <w:bookmarkEnd w:id="12"/>
    </w:p>
    <w:p w:rsidR="00745802" w:rsidRPr="00745802" w:rsidRDefault="00745802" w:rsidP="001567FE">
      <w:pPr>
        <w:autoSpaceDE w:val="0"/>
        <w:autoSpaceDN w:val="0"/>
        <w:adjustRightInd w:val="0"/>
        <w:spacing w:after="120" w:line="240" w:lineRule="auto"/>
        <w:jc w:val="both"/>
        <w:rPr>
          <w:rFonts w:cs="Arial"/>
        </w:rPr>
      </w:pPr>
      <w:r>
        <w:rPr>
          <w:rFonts w:cs="Arial"/>
          <w:lang w:val="en-GB"/>
        </w:rPr>
        <w:t xml:space="preserve">The Corridor also includes the </w:t>
      </w:r>
      <w:r w:rsidRPr="00745802">
        <w:rPr>
          <w:rFonts w:cs="Arial"/>
          <w:lang w:val="en-GB"/>
        </w:rPr>
        <w:t>activity centres of Hobart CBD</w:t>
      </w:r>
      <w:r>
        <w:rPr>
          <w:rFonts w:cs="Arial"/>
          <w:lang w:val="en-GB"/>
        </w:rPr>
        <w:t xml:space="preserve"> and Glenorchy and </w:t>
      </w:r>
      <w:r w:rsidR="003716DF">
        <w:rPr>
          <w:rFonts w:cs="Arial"/>
          <w:lang w:val="en-GB"/>
        </w:rPr>
        <w:t>smaller centres of North Hobart, New Town</w:t>
      </w:r>
      <w:r w:rsidRPr="00745802">
        <w:rPr>
          <w:rFonts w:cs="Arial"/>
          <w:lang w:val="en-GB"/>
        </w:rPr>
        <w:t xml:space="preserve"> </w:t>
      </w:r>
      <w:r w:rsidR="003716DF" w:rsidRPr="00745802">
        <w:rPr>
          <w:rFonts w:cs="Arial"/>
          <w:lang w:val="en-GB"/>
        </w:rPr>
        <w:t xml:space="preserve">and </w:t>
      </w:r>
      <w:r w:rsidRPr="00745802">
        <w:rPr>
          <w:rFonts w:cs="Arial"/>
          <w:lang w:val="en-GB"/>
        </w:rPr>
        <w:t>Moonah</w:t>
      </w:r>
      <w:r w:rsidR="008360DB">
        <w:rPr>
          <w:rFonts w:cs="Arial"/>
          <w:lang w:val="en-GB"/>
        </w:rPr>
        <w:t xml:space="preserve">. The areas of Hobart CBD, Glenorchy and Moonah have a </w:t>
      </w:r>
      <w:r w:rsidR="003716DF">
        <w:rPr>
          <w:rFonts w:cs="Arial"/>
          <w:lang w:val="en-GB"/>
        </w:rPr>
        <w:t>high employment density</w:t>
      </w:r>
      <w:r w:rsidR="008360DB">
        <w:rPr>
          <w:rFonts w:cs="Arial"/>
          <w:lang w:val="en-GB"/>
        </w:rPr>
        <w:t xml:space="preserve"> and a </w:t>
      </w:r>
      <w:r w:rsidR="003716DF">
        <w:rPr>
          <w:rFonts w:cs="Arial"/>
          <w:lang w:val="en-GB"/>
        </w:rPr>
        <w:t xml:space="preserve">large number of </w:t>
      </w:r>
      <w:r w:rsidR="008360DB">
        <w:rPr>
          <w:rFonts w:cs="Arial"/>
          <w:lang w:val="en-GB"/>
        </w:rPr>
        <w:t xml:space="preserve">trip </w:t>
      </w:r>
      <w:r w:rsidR="003716DF">
        <w:rPr>
          <w:rFonts w:cs="Arial"/>
          <w:lang w:val="en-GB"/>
        </w:rPr>
        <w:t>attractors.</w:t>
      </w:r>
    </w:p>
    <w:p w:rsidR="001D491E" w:rsidRDefault="001D491E" w:rsidP="00E52A9A">
      <w:pPr>
        <w:pStyle w:val="Heading1"/>
        <w:rPr>
          <w:lang w:val="en-GB"/>
        </w:rPr>
      </w:pPr>
      <w:bookmarkStart w:id="13" w:name="_Toc320197771"/>
      <w:bookmarkStart w:id="14" w:name="_Toc326833283"/>
      <w:r>
        <w:rPr>
          <w:lang w:val="en-GB"/>
        </w:rPr>
        <w:t>Investment focus</w:t>
      </w:r>
      <w:bookmarkEnd w:id="13"/>
      <w:bookmarkEnd w:id="14"/>
    </w:p>
    <w:p w:rsidR="001D491E" w:rsidRDefault="001D491E" w:rsidP="00AF12A2">
      <w:pPr>
        <w:pStyle w:val="Texttoreplace"/>
        <w:spacing w:after="120" w:line="240" w:lineRule="auto"/>
        <w:jc w:val="both"/>
        <w:rPr>
          <w:rFonts w:ascii="Arial" w:hAnsi="Arial" w:cs="Arial"/>
          <w:i w:val="0"/>
          <w:sz w:val="22"/>
          <w:lang w:val="en-GB"/>
        </w:rPr>
      </w:pPr>
      <w:r w:rsidRPr="0053374B">
        <w:rPr>
          <w:rFonts w:ascii="Arial" w:hAnsi="Arial" w:cs="Arial"/>
          <w:i w:val="0"/>
          <w:sz w:val="22"/>
          <w:lang w:val="en-GB"/>
        </w:rPr>
        <w:t xml:space="preserve">The focus is on investing in our existing public transport system to </w:t>
      </w:r>
      <w:r w:rsidR="0053374B">
        <w:rPr>
          <w:rFonts w:ascii="Arial" w:hAnsi="Arial" w:cs="Arial"/>
          <w:i w:val="0"/>
          <w:sz w:val="22"/>
          <w:lang w:val="en-GB"/>
        </w:rPr>
        <w:t xml:space="preserve">manage </w:t>
      </w:r>
      <w:r w:rsidR="00787812">
        <w:rPr>
          <w:rFonts w:ascii="Arial" w:hAnsi="Arial" w:cs="Arial"/>
          <w:i w:val="0"/>
          <w:sz w:val="22"/>
          <w:lang w:val="en-GB"/>
        </w:rPr>
        <w:t>the community’s</w:t>
      </w:r>
      <w:r w:rsidR="0053374B">
        <w:rPr>
          <w:rFonts w:ascii="Arial" w:hAnsi="Arial" w:cs="Arial"/>
          <w:i w:val="0"/>
          <w:sz w:val="22"/>
          <w:lang w:val="en-GB"/>
        </w:rPr>
        <w:t xml:space="preserve"> travel demands. </w:t>
      </w:r>
      <w:r w:rsidRPr="0053374B">
        <w:rPr>
          <w:rFonts w:ascii="Arial" w:hAnsi="Arial" w:cs="Arial"/>
          <w:i w:val="0"/>
          <w:sz w:val="22"/>
          <w:lang w:val="en-GB"/>
        </w:rPr>
        <w:t xml:space="preserve">While public transport in Greater Hobart does not experience the capacity problems </w:t>
      </w:r>
      <w:r w:rsidR="00787812">
        <w:rPr>
          <w:rFonts w:ascii="Arial" w:hAnsi="Arial" w:cs="Arial"/>
          <w:i w:val="0"/>
          <w:sz w:val="22"/>
          <w:lang w:val="en-GB"/>
        </w:rPr>
        <w:t>of</w:t>
      </w:r>
      <w:r w:rsidRPr="0053374B">
        <w:rPr>
          <w:rFonts w:ascii="Arial" w:hAnsi="Arial" w:cs="Arial"/>
          <w:i w:val="0"/>
          <w:sz w:val="22"/>
          <w:lang w:val="en-GB"/>
        </w:rPr>
        <w:t xml:space="preserve"> major cities such as Melbourne and Sydney, there is a need to improve the reliability of our systems to attract a greater modal share. The </w:t>
      </w:r>
      <w:r w:rsidR="00E45510">
        <w:rPr>
          <w:rFonts w:ascii="Arial" w:hAnsi="Arial" w:cs="Arial"/>
          <w:i w:val="0"/>
          <w:sz w:val="22"/>
          <w:lang w:val="en-GB"/>
        </w:rPr>
        <w:t xml:space="preserve">primary </w:t>
      </w:r>
      <w:r w:rsidRPr="0053374B">
        <w:rPr>
          <w:rFonts w:ascii="Arial" w:hAnsi="Arial" w:cs="Arial"/>
          <w:i w:val="0"/>
          <w:sz w:val="22"/>
          <w:lang w:val="en-GB"/>
        </w:rPr>
        <w:t xml:space="preserve">emphasis is not on building </w:t>
      </w:r>
      <w:r w:rsidR="00E45510">
        <w:rPr>
          <w:rFonts w:ascii="Arial" w:hAnsi="Arial" w:cs="Arial"/>
          <w:i w:val="0"/>
          <w:sz w:val="22"/>
          <w:lang w:val="en-GB"/>
        </w:rPr>
        <w:t xml:space="preserve">immediate </w:t>
      </w:r>
      <w:r w:rsidRPr="0053374B">
        <w:rPr>
          <w:rFonts w:ascii="Arial" w:hAnsi="Arial" w:cs="Arial"/>
          <w:i w:val="0"/>
          <w:sz w:val="22"/>
          <w:lang w:val="en-GB"/>
        </w:rPr>
        <w:t xml:space="preserve">capacity through investing in </w:t>
      </w:r>
      <w:r w:rsidR="00E45510">
        <w:rPr>
          <w:rFonts w:ascii="Arial" w:hAnsi="Arial" w:cs="Arial"/>
          <w:i w:val="0"/>
          <w:sz w:val="22"/>
          <w:lang w:val="en-GB"/>
        </w:rPr>
        <w:t xml:space="preserve">costly </w:t>
      </w:r>
      <w:r w:rsidRPr="0053374B">
        <w:rPr>
          <w:rFonts w:ascii="Arial" w:hAnsi="Arial" w:cs="Arial"/>
          <w:i w:val="0"/>
          <w:sz w:val="22"/>
          <w:lang w:val="en-GB"/>
        </w:rPr>
        <w:t>mass transit systems</w:t>
      </w:r>
      <w:r w:rsidR="00E45510">
        <w:rPr>
          <w:rFonts w:ascii="Arial" w:hAnsi="Arial" w:cs="Arial"/>
          <w:i w:val="0"/>
          <w:sz w:val="22"/>
          <w:lang w:val="en-GB"/>
        </w:rPr>
        <w:t>,</w:t>
      </w:r>
      <w:r w:rsidRPr="0053374B">
        <w:rPr>
          <w:rFonts w:ascii="Arial" w:hAnsi="Arial" w:cs="Arial"/>
          <w:i w:val="0"/>
          <w:sz w:val="22"/>
          <w:lang w:val="en-GB"/>
        </w:rPr>
        <w:t xml:space="preserve"> </w:t>
      </w:r>
      <w:r w:rsidR="00AA7154" w:rsidRPr="0053374B">
        <w:rPr>
          <w:rFonts w:ascii="Arial" w:hAnsi="Arial" w:cs="Arial"/>
          <w:i w:val="0"/>
          <w:sz w:val="22"/>
          <w:lang w:val="en-GB"/>
        </w:rPr>
        <w:t>but on</w:t>
      </w:r>
      <w:r w:rsidRPr="0053374B">
        <w:rPr>
          <w:rFonts w:ascii="Arial" w:hAnsi="Arial" w:cs="Arial"/>
          <w:i w:val="0"/>
          <w:sz w:val="22"/>
          <w:lang w:val="en-GB"/>
        </w:rPr>
        <w:t xml:space="preserve"> improving </w:t>
      </w:r>
      <w:r w:rsidR="00E52A9A">
        <w:rPr>
          <w:rFonts w:ascii="Arial" w:hAnsi="Arial" w:cs="Arial"/>
          <w:i w:val="0"/>
          <w:sz w:val="22"/>
          <w:lang w:val="en-GB"/>
        </w:rPr>
        <w:t>the existing system</w:t>
      </w:r>
      <w:r w:rsidR="00E45510">
        <w:rPr>
          <w:rFonts w:ascii="Arial" w:hAnsi="Arial" w:cs="Arial"/>
          <w:i w:val="0"/>
          <w:sz w:val="22"/>
          <w:lang w:val="en-GB"/>
        </w:rPr>
        <w:t xml:space="preserve"> (where there is significant scope for improvement at relatively low cost)</w:t>
      </w:r>
      <w:r w:rsidRPr="0053374B">
        <w:rPr>
          <w:rFonts w:ascii="Arial" w:hAnsi="Arial" w:cs="Arial"/>
          <w:i w:val="0"/>
          <w:sz w:val="22"/>
          <w:lang w:val="en-GB"/>
        </w:rPr>
        <w:t>.</w:t>
      </w:r>
      <w:r>
        <w:rPr>
          <w:rFonts w:ascii="Arial" w:hAnsi="Arial" w:cs="Arial"/>
          <w:i w:val="0"/>
          <w:sz w:val="22"/>
          <w:lang w:val="en-GB"/>
        </w:rPr>
        <w:t xml:space="preserve"> </w:t>
      </w:r>
    </w:p>
    <w:p w:rsidR="0032784B" w:rsidRDefault="00B00E3D" w:rsidP="00E52A9A">
      <w:pPr>
        <w:pStyle w:val="Heading1"/>
        <w:rPr>
          <w:lang w:val="en-GB"/>
        </w:rPr>
      </w:pPr>
      <w:bookmarkStart w:id="15" w:name="_Toc320197772"/>
      <w:bookmarkStart w:id="16" w:name="_Toc326833284"/>
      <w:r>
        <w:rPr>
          <w:lang w:val="en-GB"/>
        </w:rPr>
        <w:t>P</w:t>
      </w:r>
      <w:r w:rsidR="0032784B">
        <w:rPr>
          <w:lang w:val="en-GB"/>
        </w:rPr>
        <w:t>roblem identification</w:t>
      </w:r>
      <w:bookmarkEnd w:id="15"/>
      <w:bookmarkEnd w:id="16"/>
    </w:p>
    <w:p w:rsidR="003448DF" w:rsidRDefault="00E45510" w:rsidP="0053374B">
      <w:pPr>
        <w:spacing w:after="120" w:line="240" w:lineRule="auto"/>
        <w:jc w:val="both"/>
        <w:rPr>
          <w:lang w:val="en-GB"/>
        </w:rPr>
      </w:pPr>
      <w:r w:rsidRPr="0035032F">
        <w:rPr>
          <w:lang w:val="en-GB"/>
        </w:rPr>
        <w:t xml:space="preserve">There is a need to identify the problems with </w:t>
      </w:r>
      <w:r>
        <w:rPr>
          <w:lang w:val="en-GB"/>
        </w:rPr>
        <w:t>the sustainability of Greater Hobart’s</w:t>
      </w:r>
      <w:r w:rsidRPr="0035032F">
        <w:rPr>
          <w:lang w:val="en-GB"/>
        </w:rPr>
        <w:t xml:space="preserve"> </w:t>
      </w:r>
      <w:r w:rsidR="00AA7154">
        <w:rPr>
          <w:lang w:val="en-GB"/>
        </w:rPr>
        <w:t xml:space="preserve">current </w:t>
      </w:r>
      <w:r w:rsidRPr="0035032F">
        <w:rPr>
          <w:lang w:val="en-GB"/>
        </w:rPr>
        <w:t>transport and land use planning system</w:t>
      </w:r>
      <w:r>
        <w:rPr>
          <w:lang w:val="en-GB"/>
        </w:rPr>
        <w:t>s</w:t>
      </w:r>
      <w:r w:rsidRPr="0035032F">
        <w:rPr>
          <w:lang w:val="en-GB"/>
        </w:rPr>
        <w:t xml:space="preserve"> </w:t>
      </w:r>
      <w:r>
        <w:rPr>
          <w:lang w:val="en-GB"/>
        </w:rPr>
        <w:t>to</w:t>
      </w:r>
      <w:r w:rsidRPr="0035032F">
        <w:rPr>
          <w:lang w:val="en-GB"/>
        </w:rPr>
        <w:t xml:space="preserve"> </w:t>
      </w:r>
      <w:r>
        <w:rPr>
          <w:lang w:val="en-GB"/>
        </w:rPr>
        <w:t>ensure that actions developed in the Transit Corridor Plan properly target these issues</w:t>
      </w:r>
      <w:r w:rsidR="003A548F" w:rsidRPr="0035032F">
        <w:rPr>
          <w:lang w:val="en-GB"/>
        </w:rPr>
        <w:t xml:space="preserve">. </w:t>
      </w:r>
      <w:r w:rsidR="003448DF">
        <w:rPr>
          <w:lang w:val="en-GB"/>
        </w:rPr>
        <w:t>Problem identification</w:t>
      </w:r>
      <w:r w:rsidR="009663CC">
        <w:rPr>
          <w:lang w:val="en-GB"/>
        </w:rPr>
        <w:t xml:space="preserve"> is increasingly being used at a national level by Infrastructure Australia in assessing </w:t>
      </w:r>
      <w:r w:rsidR="003448DF">
        <w:rPr>
          <w:lang w:val="en-GB"/>
        </w:rPr>
        <w:t xml:space="preserve">whether </w:t>
      </w:r>
      <w:r w:rsidR="009663CC">
        <w:rPr>
          <w:lang w:val="en-GB"/>
        </w:rPr>
        <w:t>infrastructure proposals</w:t>
      </w:r>
      <w:r w:rsidR="003448DF">
        <w:rPr>
          <w:lang w:val="en-GB"/>
        </w:rPr>
        <w:t xml:space="preserve"> </w:t>
      </w:r>
      <w:r>
        <w:rPr>
          <w:lang w:val="en-GB"/>
        </w:rPr>
        <w:t>are actually addressing a demonstrable and significant deficiency</w:t>
      </w:r>
      <w:r w:rsidR="009663CC">
        <w:rPr>
          <w:lang w:val="en-GB"/>
        </w:rPr>
        <w:t>.</w:t>
      </w:r>
      <w:r w:rsidR="00E52A9A">
        <w:rPr>
          <w:lang w:val="en-GB"/>
        </w:rPr>
        <w:t xml:space="preserve"> </w:t>
      </w:r>
      <w:r>
        <w:rPr>
          <w:lang w:val="en-GB"/>
        </w:rPr>
        <w:t xml:space="preserve">While </w:t>
      </w:r>
      <w:r w:rsidR="003448DF">
        <w:rPr>
          <w:lang w:val="en-GB"/>
        </w:rPr>
        <w:t xml:space="preserve">Infrastructure Australia terms these as ‘problems’, they could arguably be called </w:t>
      </w:r>
      <w:r>
        <w:rPr>
          <w:lang w:val="en-GB"/>
        </w:rPr>
        <w:t>‘</w:t>
      </w:r>
      <w:r w:rsidR="003448DF">
        <w:rPr>
          <w:lang w:val="en-GB"/>
        </w:rPr>
        <w:t>challenges</w:t>
      </w:r>
      <w:r>
        <w:rPr>
          <w:lang w:val="en-GB"/>
        </w:rPr>
        <w:t>’</w:t>
      </w:r>
      <w:r w:rsidR="003448DF">
        <w:rPr>
          <w:lang w:val="en-GB"/>
        </w:rPr>
        <w:t xml:space="preserve"> or </w:t>
      </w:r>
      <w:r>
        <w:rPr>
          <w:lang w:val="en-GB"/>
        </w:rPr>
        <w:t>‘</w:t>
      </w:r>
      <w:r w:rsidR="003448DF">
        <w:rPr>
          <w:lang w:val="en-GB"/>
        </w:rPr>
        <w:t>issues</w:t>
      </w:r>
      <w:r>
        <w:rPr>
          <w:lang w:val="en-GB"/>
        </w:rPr>
        <w:t>’</w:t>
      </w:r>
      <w:r w:rsidR="003448DF">
        <w:rPr>
          <w:lang w:val="en-GB"/>
        </w:rPr>
        <w:t>. This report reflects Infrastructure Australia</w:t>
      </w:r>
      <w:r>
        <w:rPr>
          <w:lang w:val="en-GB"/>
        </w:rPr>
        <w:t>’s</w:t>
      </w:r>
      <w:r w:rsidR="003448DF">
        <w:rPr>
          <w:lang w:val="en-GB"/>
        </w:rPr>
        <w:t xml:space="preserve"> terminology</w:t>
      </w:r>
      <w:r>
        <w:rPr>
          <w:lang w:val="en-GB"/>
        </w:rPr>
        <w:t xml:space="preserve"> and its approach to problem evaluation</w:t>
      </w:r>
      <w:r w:rsidR="003448DF">
        <w:rPr>
          <w:lang w:val="en-GB"/>
        </w:rPr>
        <w:t xml:space="preserve">. </w:t>
      </w:r>
    </w:p>
    <w:p w:rsidR="00AA7154" w:rsidRPr="0035032F" w:rsidRDefault="00E52A9A" w:rsidP="00AA7154">
      <w:pPr>
        <w:spacing w:after="120" w:line="240" w:lineRule="auto"/>
        <w:jc w:val="both"/>
        <w:rPr>
          <w:lang w:val="en-GB"/>
        </w:rPr>
      </w:pPr>
      <w:r>
        <w:rPr>
          <w:lang w:val="en-GB"/>
        </w:rPr>
        <w:t>T</w:t>
      </w:r>
      <w:r w:rsidR="003448DF">
        <w:rPr>
          <w:lang w:val="en-GB"/>
        </w:rPr>
        <w:t>he</w:t>
      </w:r>
      <w:r>
        <w:rPr>
          <w:lang w:val="en-GB"/>
        </w:rPr>
        <w:t xml:space="preserve"> </w:t>
      </w:r>
      <w:r w:rsidR="003448DF">
        <w:rPr>
          <w:lang w:val="en-GB"/>
        </w:rPr>
        <w:t xml:space="preserve">problems identified below </w:t>
      </w:r>
      <w:r>
        <w:rPr>
          <w:lang w:val="en-GB"/>
        </w:rPr>
        <w:t>are experienced at the metropolitan planning level.</w:t>
      </w:r>
      <w:r w:rsidR="003448DF">
        <w:rPr>
          <w:lang w:val="en-GB"/>
        </w:rPr>
        <w:t xml:space="preserve"> </w:t>
      </w:r>
      <w:r w:rsidR="00423F7B">
        <w:rPr>
          <w:lang w:val="en-GB"/>
        </w:rPr>
        <w:t xml:space="preserve">Developing Main Road as a </w:t>
      </w:r>
      <w:r w:rsidR="00D558A3">
        <w:rPr>
          <w:lang w:val="en-GB"/>
        </w:rPr>
        <w:t xml:space="preserve">Transit Corridor </w:t>
      </w:r>
      <w:r w:rsidR="00423F7B">
        <w:rPr>
          <w:lang w:val="en-GB"/>
        </w:rPr>
        <w:t xml:space="preserve">is one option </w:t>
      </w:r>
      <w:r w:rsidR="00D558A3">
        <w:rPr>
          <w:lang w:val="en-GB"/>
        </w:rPr>
        <w:t xml:space="preserve">to </w:t>
      </w:r>
      <w:r w:rsidR="00423F7B">
        <w:rPr>
          <w:lang w:val="en-GB"/>
        </w:rPr>
        <w:t>target</w:t>
      </w:r>
      <w:r w:rsidR="00DB5AF8">
        <w:rPr>
          <w:lang w:val="en-GB"/>
        </w:rPr>
        <w:t xml:space="preserve"> these problems,</w:t>
      </w:r>
      <w:r w:rsidR="00D558A3">
        <w:rPr>
          <w:lang w:val="en-GB"/>
        </w:rPr>
        <w:t xml:space="preserve"> </w:t>
      </w:r>
      <w:r w:rsidR="00AA7154">
        <w:rPr>
          <w:lang w:val="en-GB"/>
        </w:rPr>
        <w:t xml:space="preserve">by focusing specially on improving transport and land use planning outcomes in the Northern Suburbs.  </w:t>
      </w:r>
    </w:p>
    <w:p w:rsidR="00D558A3" w:rsidRDefault="00423F7B" w:rsidP="0053374B">
      <w:pPr>
        <w:spacing w:after="120" w:line="240" w:lineRule="auto"/>
        <w:jc w:val="both"/>
        <w:rPr>
          <w:lang w:val="en-GB"/>
        </w:rPr>
      </w:pPr>
      <w:r>
        <w:rPr>
          <w:lang w:val="en-GB"/>
        </w:rPr>
        <w:t xml:space="preserve">Other options which have previously been investigated </w:t>
      </w:r>
      <w:r w:rsidR="00AA7154">
        <w:rPr>
          <w:lang w:val="en-GB"/>
        </w:rPr>
        <w:t xml:space="preserve">to improve transport outcomes in the Northern Suburbs </w:t>
      </w:r>
      <w:r>
        <w:rPr>
          <w:lang w:val="en-GB"/>
        </w:rPr>
        <w:t xml:space="preserve">include the Light Rail Business Case and </w:t>
      </w:r>
      <w:r w:rsidR="00AA7154">
        <w:rPr>
          <w:lang w:val="en-GB"/>
        </w:rPr>
        <w:t xml:space="preserve">investigation of </w:t>
      </w:r>
      <w:r>
        <w:rPr>
          <w:lang w:val="en-GB"/>
        </w:rPr>
        <w:t>bus priority on the Brooker Highway.</w:t>
      </w:r>
    </w:p>
    <w:p w:rsidR="00AA7154" w:rsidRDefault="00AA7154" w:rsidP="0053374B">
      <w:pPr>
        <w:spacing w:after="120" w:line="240" w:lineRule="auto"/>
        <w:jc w:val="both"/>
        <w:rPr>
          <w:lang w:val="en-GB"/>
        </w:rPr>
      </w:pPr>
      <w:r>
        <w:rPr>
          <w:lang w:val="en-GB"/>
        </w:rPr>
        <w:t xml:space="preserve">The Transit Corridors project alone will not solve these metropolitan problems; other strategies will be required to target these issues. The </w:t>
      </w:r>
      <w:r w:rsidRPr="00AA7154">
        <w:rPr>
          <w:i/>
          <w:lang w:val="en-GB"/>
        </w:rPr>
        <w:t>Tasmanian Urban Passenger Transport Framework</w:t>
      </w:r>
      <w:r>
        <w:rPr>
          <w:lang w:val="en-GB"/>
        </w:rPr>
        <w:t xml:space="preserve"> and the </w:t>
      </w:r>
      <w:r w:rsidRPr="00AA7154">
        <w:rPr>
          <w:i/>
          <w:lang w:val="en-GB"/>
        </w:rPr>
        <w:t>Southern Integrated Transport Plan</w:t>
      </w:r>
      <w:r>
        <w:rPr>
          <w:lang w:val="en-GB"/>
        </w:rPr>
        <w:t xml:space="preserve"> contain actions to address these key transport challenges.</w:t>
      </w:r>
    </w:p>
    <w:p w:rsidR="00F944CF" w:rsidRPr="009663CC" w:rsidRDefault="003448DF" w:rsidP="0053374B">
      <w:pPr>
        <w:spacing w:after="120" w:line="240" w:lineRule="auto"/>
        <w:jc w:val="both"/>
        <w:rPr>
          <w:lang w:val="en-GB"/>
        </w:rPr>
      </w:pPr>
      <w:r w:rsidRPr="00522A8C">
        <w:rPr>
          <w:lang w:val="en-GB"/>
        </w:rPr>
        <w:lastRenderedPageBreak/>
        <w:t>The remainder of the Stage One report identifies</w:t>
      </w:r>
      <w:r w:rsidR="00423F7B" w:rsidRPr="00522A8C">
        <w:rPr>
          <w:lang w:val="en-GB"/>
        </w:rPr>
        <w:t xml:space="preserve"> problems at the Corridor level </w:t>
      </w:r>
      <w:r w:rsidR="00423F7B" w:rsidRPr="00522A8C">
        <w:rPr>
          <w:rFonts w:cs="Arial"/>
          <w:lang w:val="en-GB"/>
        </w:rPr>
        <w:t xml:space="preserve">in order to inform option </w:t>
      </w:r>
      <w:r w:rsidR="007266A1">
        <w:rPr>
          <w:rFonts w:cs="Arial"/>
          <w:lang w:val="en-GB"/>
        </w:rPr>
        <w:t>identification and assessment and ultimately develop actions to improve the Transit Corridor.</w:t>
      </w:r>
      <w:r w:rsidR="00423F7B">
        <w:rPr>
          <w:rFonts w:cs="Arial"/>
          <w:lang w:val="en-GB"/>
        </w:rPr>
        <w:t xml:space="preserve"> </w:t>
      </w:r>
    </w:p>
    <w:p w:rsidR="00436057" w:rsidRPr="00F944CF" w:rsidRDefault="00BC4021" w:rsidP="00F944CF">
      <w:pPr>
        <w:pStyle w:val="Heading2"/>
      </w:pPr>
      <w:bookmarkStart w:id="17" w:name="_Toc320197773"/>
      <w:bookmarkStart w:id="18" w:name="_Toc326833285"/>
      <w:r w:rsidRPr="00BC4021">
        <w:t>Population growth in outer urban areas</w:t>
      </w:r>
      <w:bookmarkEnd w:id="17"/>
      <w:bookmarkEnd w:id="18"/>
    </w:p>
    <w:p w:rsidR="007266A1" w:rsidRDefault="00470864" w:rsidP="0027711A">
      <w:pPr>
        <w:autoSpaceDE w:val="0"/>
        <w:autoSpaceDN w:val="0"/>
        <w:adjustRightInd w:val="0"/>
        <w:spacing w:after="120" w:line="240" w:lineRule="auto"/>
        <w:jc w:val="both"/>
        <w:rPr>
          <w:rFonts w:cs="Arial"/>
        </w:rPr>
      </w:pPr>
      <w:r w:rsidRPr="00470864">
        <w:rPr>
          <w:rFonts w:cs="Arial"/>
          <w:b/>
        </w:rPr>
        <w:t>The problem</w:t>
      </w:r>
      <w:r>
        <w:rPr>
          <w:rFonts w:cs="Arial"/>
        </w:rPr>
        <w:t xml:space="preserve">: Population growth is occurring in </w:t>
      </w:r>
      <w:r w:rsidR="004A569B">
        <w:rPr>
          <w:rFonts w:cs="Arial"/>
        </w:rPr>
        <w:t xml:space="preserve">multiple locations </w:t>
      </w:r>
      <w:r w:rsidR="0080704A">
        <w:rPr>
          <w:rFonts w:cs="Arial"/>
        </w:rPr>
        <w:t xml:space="preserve">across </w:t>
      </w:r>
      <w:r w:rsidR="004A569B">
        <w:rPr>
          <w:rFonts w:cs="Arial"/>
        </w:rPr>
        <w:t>the</w:t>
      </w:r>
      <w:r>
        <w:rPr>
          <w:rFonts w:cs="Arial"/>
        </w:rPr>
        <w:t xml:space="preserve"> outer urban areas of </w:t>
      </w:r>
      <w:r w:rsidR="007266A1">
        <w:rPr>
          <w:rFonts w:cs="Arial"/>
        </w:rPr>
        <w:t xml:space="preserve">Greater </w:t>
      </w:r>
      <w:r>
        <w:rPr>
          <w:rFonts w:cs="Arial"/>
        </w:rPr>
        <w:t>Hobart, placing pressure on arterial road networks.</w:t>
      </w:r>
      <w:r w:rsidRPr="00470864">
        <w:rPr>
          <w:rFonts w:cs="Arial"/>
        </w:rPr>
        <w:t xml:space="preserve"> </w:t>
      </w:r>
    </w:p>
    <w:p w:rsidR="006F0E95" w:rsidRDefault="003A548F">
      <w:pPr>
        <w:autoSpaceDE w:val="0"/>
        <w:autoSpaceDN w:val="0"/>
        <w:adjustRightInd w:val="0"/>
        <w:spacing w:after="120" w:line="240" w:lineRule="auto"/>
        <w:jc w:val="both"/>
        <w:rPr>
          <w:rFonts w:cs="Arial"/>
        </w:rPr>
      </w:pPr>
      <w:r>
        <w:rPr>
          <w:rFonts w:cs="Arial"/>
        </w:rPr>
        <w:t>From a transport context (</w:t>
      </w:r>
      <w:r w:rsidRPr="00D17992">
        <w:rPr>
          <w:rFonts w:cs="Arial"/>
        </w:rPr>
        <w:t>without any form of demand management intervention</w:t>
      </w:r>
      <w:r>
        <w:rPr>
          <w:rFonts w:cs="Arial"/>
        </w:rPr>
        <w:t>)</w:t>
      </w:r>
      <w:r w:rsidR="0080704A">
        <w:rPr>
          <w:rFonts w:cs="Arial"/>
        </w:rPr>
        <w:t>,</w:t>
      </w:r>
      <w:r w:rsidRPr="00D17992">
        <w:rPr>
          <w:rFonts w:cs="Arial"/>
        </w:rPr>
        <w:t xml:space="preserve"> </w:t>
      </w:r>
      <w:r w:rsidR="00470864" w:rsidRPr="00D17992">
        <w:rPr>
          <w:rFonts w:cs="Arial"/>
        </w:rPr>
        <w:t xml:space="preserve">population growth will drive increased </w:t>
      </w:r>
      <w:r w:rsidR="007266A1">
        <w:rPr>
          <w:rFonts w:cs="Arial"/>
        </w:rPr>
        <w:t xml:space="preserve">car volumes and subsequent </w:t>
      </w:r>
      <w:r w:rsidR="00470864" w:rsidRPr="00D17992">
        <w:rPr>
          <w:rFonts w:cs="Arial"/>
        </w:rPr>
        <w:t>demand for road space.</w:t>
      </w:r>
      <w:r w:rsidR="00470864" w:rsidRPr="009663CC">
        <w:rPr>
          <w:rFonts w:cs="Arial"/>
        </w:rPr>
        <w:t xml:space="preserve"> </w:t>
      </w:r>
      <w:r w:rsidR="00470864">
        <w:rPr>
          <w:rFonts w:cs="Arial"/>
        </w:rPr>
        <w:t xml:space="preserve">  </w:t>
      </w:r>
      <w:r w:rsidR="00470864" w:rsidRPr="00470864">
        <w:rPr>
          <w:rFonts w:cs="Arial"/>
        </w:rPr>
        <w:t>Population growth in Hobart’s outer Northern Suburbs will result in additional demand along both the Brooker</w:t>
      </w:r>
      <w:r>
        <w:rPr>
          <w:rFonts w:cs="Arial"/>
        </w:rPr>
        <w:t xml:space="preserve"> Highway (</w:t>
      </w:r>
      <w:r w:rsidR="00470864" w:rsidRPr="00470864">
        <w:rPr>
          <w:rFonts w:cs="Arial"/>
        </w:rPr>
        <w:t>which is the key route for car based passengers</w:t>
      </w:r>
      <w:r>
        <w:rPr>
          <w:rFonts w:cs="Arial"/>
        </w:rPr>
        <w:t>)</w:t>
      </w:r>
      <w:r w:rsidR="00470864" w:rsidRPr="00470864">
        <w:rPr>
          <w:rFonts w:cs="Arial"/>
        </w:rPr>
        <w:t xml:space="preserve"> and Main Road</w:t>
      </w:r>
      <w:r>
        <w:rPr>
          <w:rFonts w:cs="Arial"/>
        </w:rPr>
        <w:t>,</w:t>
      </w:r>
      <w:r w:rsidR="00470864" w:rsidRPr="00470864">
        <w:rPr>
          <w:rFonts w:cs="Arial"/>
        </w:rPr>
        <w:t xml:space="preserve"> which is the key public transport route. </w:t>
      </w:r>
      <w:r w:rsidR="00AA7154">
        <w:rPr>
          <w:rFonts w:cs="Arial"/>
        </w:rPr>
        <w:t>Brighton Council experienced the highest average annual growth rate of Southern Tasmanian Councils, at 2.4 per cent from 2001-2008 (ABS 2009).</w:t>
      </w:r>
    </w:p>
    <w:p w:rsidR="00470864" w:rsidRDefault="00470864" w:rsidP="0027711A">
      <w:pPr>
        <w:spacing w:after="120" w:line="240" w:lineRule="auto"/>
        <w:jc w:val="both"/>
        <w:rPr>
          <w:rFonts w:cs="Arial"/>
        </w:rPr>
      </w:pPr>
      <w:r w:rsidRPr="00470864">
        <w:rPr>
          <w:rFonts w:cs="Arial"/>
        </w:rPr>
        <w:t xml:space="preserve">These outer urban areas </w:t>
      </w:r>
      <w:r>
        <w:rPr>
          <w:rFonts w:cs="Arial"/>
        </w:rPr>
        <w:t>tend to have lower population densities, with limited services and less transport options. This leads to greater travel distances and a higher reliance on cars.</w:t>
      </w:r>
    </w:p>
    <w:p w:rsidR="00A73176" w:rsidRDefault="00470864" w:rsidP="0027711A">
      <w:pPr>
        <w:spacing w:after="120" w:line="240" w:lineRule="auto"/>
        <w:jc w:val="both"/>
        <w:rPr>
          <w:lang w:val="en-US"/>
        </w:rPr>
      </w:pPr>
      <w:r w:rsidRPr="00470864">
        <w:rPr>
          <w:rFonts w:cs="Arial"/>
          <w:b/>
        </w:rPr>
        <w:t>The cause:</w:t>
      </w:r>
      <w:r>
        <w:rPr>
          <w:rFonts w:cs="Arial"/>
          <w:b/>
        </w:rPr>
        <w:t xml:space="preserve"> </w:t>
      </w:r>
      <w:r w:rsidR="0080704A">
        <w:rPr>
          <w:lang w:val="en-US"/>
        </w:rPr>
        <w:t>A chronic lack of</w:t>
      </w:r>
      <w:r w:rsidR="0080704A" w:rsidRPr="0027711A">
        <w:rPr>
          <w:lang w:val="en-US"/>
        </w:rPr>
        <w:t xml:space="preserve"> </w:t>
      </w:r>
      <w:r w:rsidR="0027711A" w:rsidRPr="0027711A">
        <w:rPr>
          <w:lang w:val="en-US"/>
        </w:rPr>
        <w:t>coordination between land use and transport planning</w:t>
      </w:r>
      <w:r w:rsidR="0027711A">
        <w:rPr>
          <w:lang w:val="en-US"/>
        </w:rPr>
        <w:t xml:space="preserve"> has resulted in </w:t>
      </w:r>
      <w:r w:rsidR="0080704A">
        <w:rPr>
          <w:lang w:val="en-US"/>
        </w:rPr>
        <w:t xml:space="preserve">residential developments </w:t>
      </w:r>
      <w:r w:rsidR="0027711A">
        <w:rPr>
          <w:lang w:val="en-US"/>
        </w:rPr>
        <w:t xml:space="preserve">occurring in areas which are </w:t>
      </w:r>
      <w:r w:rsidR="0080704A">
        <w:rPr>
          <w:lang w:val="en-US"/>
        </w:rPr>
        <w:t>unable to be well serviced</w:t>
      </w:r>
      <w:r w:rsidR="0027711A">
        <w:rPr>
          <w:lang w:val="en-US"/>
        </w:rPr>
        <w:t xml:space="preserve"> by </w:t>
      </w:r>
      <w:r w:rsidR="0080704A">
        <w:rPr>
          <w:lang w:val="en-US"/>
        </w:rPr>
        <w:t xml:space="preserve">public </w:t>
      </w:r>
      <w:r w:rsidR="0027711A">
        <w:rPr>
          <w:lang w:val="en-US"/>
        </w:rPr>
        <w:t xml:space="preserve">transport. </w:t>
      </w:r>
      <w:r w:rsidR="0080704A">
        <w:rPr>
          <w:lang w:val="en-US"/>
        </w:rPr>
        <w:t>This situation occurs because</w:t>
      </w:r>
      <w:r w:rsidR="00A73176">
        <w:rPr>
          <w:lang w:val="en-US"/>
        </w:rPr>
        <w:t xml:space="preserve"> land use and strategic transport planning </w:t>
      </w:r>
      <w:r w:rsidR="0080704A">
        <w:rPr>
          <w:lang w:val="en-US"/>
        </w:rPr>
        <w:t xml:space="preserve">are </w:t>
      </w:r>
      <w:r w:rsidR="00A73176">
        <w:rPr>
          <w:lang w:val="en-US"/>
        </w:rPr>
        <w:t>undertaken by separate levels of Government</w:t>
      </w:r>
      <w:r w:rsidR="0080704A">
        <w:rPr>
          <w:lang w:val="en-US"/>
        </w:rPr>
        <w:t xml:space="preserve"> and there is no legislative or other mechanism in place to ensure that this separation is overcome</w:t>
      </w:r>
      <w:r w:rsidR="00A73176">
        <w:rPr>
          <w:lang w:val="en-US"/>
        </w:rPr>
        <w:t>. In particular, there is little consideration of public transport when planning new residential or commercial developments.</w:t>
      </w:r>
      <w:r w:rsidR="0080704A">
        <w:rPr>
          <w:lang w:val="en-US"/>
        </w:rPr>
        <w:t xml:space="preserve"> </w:t>
      </w:r>
      <w:r w:rsidR="00A73176">
        <w:rPr>
          <w:lang w:val="en-US"/>
        </w:rPr>
        <w:t xml:space="preserve"> </w:t>
      </w:r>
      <w:r w:rsidR="009C728E">
        <w:rPr>
          <w:lang w:val="en-US"/>
        </w:rPr>
        <w:t>Often</w:t>
      </w:r>
      <w:r w:rsidR="0080704A">
        <w:rPr>
          <w:lang w:val="en-US"/>
        </w:rPr>
        <w:t>,</w:t>
      </w:r>
      <w:r w:rsidR="009C728E">
        <w:rPr>
          <w:lang w:val="en-US"/>
        </w:rPr>
        <w:t xml:space="preserve"> new subdivisions are created in areas which are not serviced by public transport</w:t>
      </w:r>
      <w:r w:rsidR="009A5B33">
        <w:rPr>
          <w:lang w:val="en-US"/>
        </w:rPr>
        <w:t>,</w:t>
      </w:r>
      <w:r w:rsidR="009C728E">
        <w:rPr>
          <w:lang w:val="en-US"/>
        </w:rPr>
        <w:t xml:space="preserve"> or are not a logical </w:t>
      </w:r>
      <w:r w:rsidR="009A5B33">
        <w:rPr>
          <w:lang w:val="en-US"/>
        </w:rPr>
        <w:t xml:space="preserve">or simple </w:t>
      </w:r>
      <w:r w:rsidR="009C728E">
        <w:rPr>
          <w:lang w:val="en-US"/>
        </w:rPr>
        <w:t>extension of the network.</w:t>
      </w:r>
      <w:r w:rsidR="0080704A">
        <w:rPr>
          <w:lang w:val="en-US"/>
        </w:rPr>
        <w:t xml:space="preserve">  Further, the additiona</w:t>
      </w:r>
      <w:r w:rsidR="00DA0F31">
        <w:rPr>
          <w:lang w:val="en-US"/>
        </w:rPr>
        <w:t>l cost of delivering suitable public transport</w:t>
      </w:r>
      <w:r w:rsidR="0080704A">
        <w:rPr>
          <w:lang w:val="en-US"/>
        </w:rPr>
        <w:t xml:space="preserve"> services to a new area is not factored into budgetary considerations; it is generally presumed that the car will meet most transport needs.  </w:t>
      </w:r>
    </w:p>
    <w:p w:rsidR="0027711A" w:rsidRDefault="0027711A" w:rsidP="0027711A">
      <w:pPr>
        <w:spacing w:after="120" w:line="240" w:lineRule="auto"/>
        <w:jc w:val="both"/>
        <w:rPr>
          <w:lang w:val="en-US"/>
        </w:rPr>
      </w:pPr>
      <w:r>
        <w:rPr>
          <w:lang w:val="en-US"/>
        </w:rPr>
        <w:t>Decisions regarding the location of future growth are important</w:t>
      </w:r>
      <w:r w:rsidR="003A548F">
        <w:rPr>
          <w:lang w:val="en-US"/>
        </w:rPr>
        <w:t>,</w:t>
      </w:r>
      <w:r>
        <w:rPr>
          <w:lang w:val="en-US"/>
        </w:rPr>
        <w:t xml:space="preserve"> as land use directly affects both the demand for travel and the mode of travel.</w:t>
      </w:r>
      <w:r w:rsidR="004A569B">
        <w:rPr>
          <w:lang w:val="en-US"/>
        </w:rPr>
        <w:t xml:space="preserve"> The lack of a</w:t>
      </w:r>
      <w:r w:rsidR="0080704A">
        <w:rPr>
          <w:lang w:val="en-US"/>
        </w:rPr>
        <w:t>n over-arching</w:t>
      </w:r>
      <w:r w:rsidR="004A569B">
        <w:rPr>
          <w:lang w:val="en-US"/>
        </w:rPr>
        <w:t xml:space="preserve"> metropolitan land use </w:t>
      </w:r>
      <w:r w:rsidR="007266A1">
        <w:rPr>
          <w:lang w:val="en-US"/>
        </w:rPr>
        <w:t>plan</w:t>
      </w:r>
      <w:r w:rsidR="004A569B">
        <w:rPr>
          <w:lang w:val="en-US"/>
        </w:rPr>
        <w:t xml:space="preserve"> has resulted in growth occurring in multiple areas, with local Government’s competing </w:t>
      </w:r>
      <w:r w:rsidR="003615E9">
        <w:rPr>
          <w:lang w:val="en-US"/>
        </w:rPr>
        <w:t xml:space="preserve">amongst themselves </w:t>
      </w:r>
      <w:r w:rsidR="004A569B">
        <w:rPr>
          <w:lang w:val="en-US"/>
        </w:rPr>
        <w:t xml:space="preserve">for </w:t>
      </w:r>
      <w:r w:rsidR="009A5B33">
        <w:rPr>
          <w:lang w:val="en-US"/>
        </w:rPr>
        <w:t>residential developments</w:t>
      </w:r>
      <w:r w:rsidR="004A569B">
        <w:rPr>
          <w:lang w:val="en-US"/>
        </w:rPr>
        <w:t>.</w:t>
      </w:r>
    </w:p>
    <w:p w:rsidR="00D17992" w:rsidRPr="00DE66B0" w:rsidRDefault="0027711A" w:rsidP="00DE66B0">
      <w:pPr>
        <w:spacing w:after="120" w:line="240" w:lineRule="auto"/>
        <w:jc w:val="both"/>
      </w:pPr>
      <w:r>
        <w:rPr>
          <w:lang w:val="en-US"/>
        </w:rPr>
        <w:t>Housing affordability and lifestyle choice is also a key driver of growth in outer urban areas. The property development market in Tasmania is geared</w:t>
      </w:r>
      <w:r w:rsidR="00562838">
        <w:rPr>
          <w:lang w:val="en-US"/>
        </w:rPr>
        <w:t xml:space="preserve"> more towards </w:t>
      </w:r>
      <w:r w:rsidR="00DE66B0">
        <w:rPr>
          <w:lang w:val="en-US"/>
        </w:rPr>
        <w:t xml:space="preserve">providing </w:t>
      </w:r>
      <w:r w:rsidR="009A5B33">
        <w:rPr>
          <w:lang w:val="en-US"/>
        </w:rPr>
        <w:t>‘</w:t>
      </w:r>
      <w:r w:rsidR="003A548F">
        <w:rPr>
          <w:lang w:val="en-US"/>
        </w:rPr>
        <w:t>G</w:t>
      </w:r>
      <w:r w:rsidR="00562838">
        <w:rPr>
          <w:lang w:val="en-US"/>
        </w:rPr>
        <w:t>reenfield</w:t>
      </w:r>
      <w:r w:rsidR="009A5B33">
        <w:rPr>
          <w:lang w:val="en-US"/>
        </w:rPr>
        <w:t>’</w:t>
      </w:r>
      <w:r w:rsidR="00562838">
        <w:rPr>
          <w:lang w:val="en-US"/>
        </w:rPr>
        <w:t xml:space="preserve"> development than infill, with the cost </w:t>
      </w:r>
      <w:r w:rsidR="003A548F">
        <w:rPr>
          <w:lang w:val="en-US"/>
        </w:rPr>
        <w:t>of development</w:t>
      </w:r>
      <w:r w:rsidR="00DE66B0">
        <w:rPr>
          <w:lang w:val="en-US"/>
        </w:rPr>
        <w:t xml:space="preserve"> </w:t>
      </w:r>
      <w:r w:rsidR="00562838">
        <w:rPr>
          <w:lang w:val="en-US"/>
        </w:rPr>
        <w:t xml:space="preserve">not reflecting the true cost of servicing these areas with infrastructure </w:t>
      </w:r>
      <w:r w:rsidR="00E52A9A">
        <w:rPr>
          <w:lang w:val="en-US"/>
        </w:rPr>
        <w:t xml:space="preserve">and service </w:t>
      </w:r>
      <w:r w:rsidR="00562838">
        <w:rPr>
          <w:lang w:val="en-US"/>
        </w:rPr>
        <w:t xml:space="preserve">provision. </w:t>
      </w:r>
      <w:r w:rsidR="009A5B33">
        <w:rPr>
          <w:lang w:val="en-US"/>
        </w:rPr>
        <w:t xml:space="preserve"> In other words, the sale price of each block is artificially low because it does not reflect the true overall costs to State and local </w:t>
      </w:r>
      <w:r w:rsidR="00DA0F31">
        <w:rPr>
          <w:lang w:val="en-US"/>
        </w:rPr>
        <w:t>G</w:t>
      </w:r>
      <w:r w:rsidR="009A5B33">
        <w:rPr>
          <w:lang w:val="en-US"/>
        </w:rPr>
        <w:t>overnments of providing a high standard of new services and infrastructure to these areas.</w:t>
      </w:r>
    </w:p>
    <w:p w:rsidR="003615E9" w:rsidRDefault="007D56FD" w:rsidP="003615E9">
      <w:pPr>
        <w:spacing w:after="120" w:line="240" w:lineRule="auto"/>
        <w:jc w:val="both"/>
        <w:rPr>
          <w:rFonts w:cs="Arial"/>
        </w:rPr>
      </w:pPr>
      <w:r>
        <w:rPr>
          <w:b/>
        </w:rPr>
        <w:t xml:space="preserve">What </w:t>
      </w:r>
      <w:r>
        <w:rPr>
          <w:rFonts w:cs="Arial"/>
          <w:b/>
        </w:rPr>
        <w:t>is occurring</w:t>
      </w:r>
      <w:r w:rsidR="00470864" w:rsidRPr="00470864">
        <w:rPr>
          <w:rFonts w:cs="Arial"/>
          <w:b/>
        </w:rPr>
        <w:t>:</w:t>
      </w:r>
      <w:r w:rsidR="00470864">
        <w:t xml:space="preserve"> </w:t>
      </w:r>
      <w:r w:rsidR="00F94B36" w:rsidRPr="0091270E">
        <w:t>From a transport planning perspective</w:t>
      </w:r>
      <w:r w:rsidR="00C55D1C">
        <w:t>,</w:t>
      </w:r>
      <w:r w:rsidR="00F94B36" w:rsidRPr="0091270E">
        <w:t xml:space="preserve"> there is increasing emphasis on maximising the use of existing infrastructure by managing </w:t>
      </w:r>
      <w:r w:rsidR="0033157C" w:rsidRPr="0091270E">
        <w:t xml:space="preserve">travel </w:t>
      </w:r>
      <w:r w:rsidR="00F94B36" w:rsidRPr="0091270E">
        <w:t>demand.</w:t>
      </w:r>
      <w:r w:rsidR="00F94B36" w:rsidRPr="0091270E">
        <w:rPr>
          <w:rFonts w:cs="Arial"/>
        </w:rPr>
        <w:t xml:space="preserve"> </w:t>
      </w:r>
      <w:r w:rsidR="003615E9">
        <w:rPr>
          <w:rFonts w:cs="Arial"/>
        </w:rPr>
        <w:t xml:space="preserve">The </w:t>
      </w:r>
      <w:r w:rsidR="003615E9" w:rsidRPr="00315F0E">
        <w:rPr>
          <w:rFonts w:cs="Arial"/>
          <w:i/>
        </w:rPr>
        <w:t>Southern Regional Land Use Strategy</w:t>
      </w:r>
      <w:r w:rsidR="003615E9">
        <w:rPr>
          <w:rFonts w:cs="Arial"/>
          <w:i/>
        </w:rPr>
        <w:t xml:space="preserve"> </w:t>
      </w:r>
      <w:r w:rsidR="003615E9" w:rsidRPr="00315F0E">
        <w:rPr>
          <w:rFonts w:cs="Arial"/>
        </w:rPr>
        <w:t>provides oppor</w:t>
      </w:r>
      <w:r w:rsidR="003615E9">
        <w:rPr>
          <w:rFonts w:cs="Arial"/>
        </w:rPr>
        <w:t>tunities</w:t>
      </w:r>
      <w:r w:rsidR="003615E9" w:rsidRPr="00315F0E">
        <w:rPr>
          <w:rFonts w:cs="Arial"/>
        </w:rPr>
        <w:t xml:space="preserve"> for </w:t>
      </w:r>
      <w:bookmarkStart w:id="19" w:name="OLE_LINK1"/>
      <w:bookmarkStart w:id="20" w:name="OLE_LINK2"/>
      <w:r w:rsidR="003615E9">
        <w:rPr>
          <w:rFonts w:cs="Arial"/>
        </w:rPr>
        <w:t>infill development to occur along public transport routes in Glenorchy, Hobart, Clarence and inner areas of Kingston.</w:t>
      </w:r>
      <w:bookmarkEnd w:id="19"/>
      <w:bookmarkEnd w:id="20"/>
    </w:p>
    <w:p w:rsidR="00DE66B0" w:rsidRDefault="00C55D1C" w:rsidP="00B77DE5">
      <w:pPr>
        <w:pStyle w:val="Default"/>
        <w:spacing w:after="120"/>
        <w:jc w:val="both"/>
        <w:rPr>
          <w:rFonts w:ascii="Arial" w:hAnsi="Arial" w:cs="Arial"/>
          <w:sz w:val="22"/>
          <w:szCs w:val="22"/>
        </w:rPr>
      </w:pPr>
      <w:r>
        <w:rPr>
          <w:rFonts w:ascii="Arial" w:hAnsi="Arial" w:cs="Arial"/>
          <w:sz w:val="22"/>
          <w:szCs w:val="22"/>
        </w:rPr>
        <w:t>Identified i</w:t>
      </w:r>
      <w:r w:rsidR="00F94B36" w:rsidRPr="0091270E">
        <w:rPr>
          <w:rFonts w:ascii="Arial" w:hAnsi="Arial" w:cs="Arial"/>
          <w:sz w:val="22"/>
          <w:szCs w:val="22"/>
        </w:rPr>
        <w:t xml:space="preserve">nfill development </w:t>
      </w:r>
      <w:r>
        <w:rPr>
          <w:rFonts w:ascii="Arial" w:hAnsi="Arial" w:cs="Arial"/>
          <w:sz w:val="22"/>
          <w:szCs w:val="22"/>
        </w:rPr>
        <w:t>locations</w:t>
      </w:r>
      <w:r w:rsidRPr="0091270E">
        <w:rPr>
          <w:rFonts w:ascii="Arial" w:hAnsi="Arial" w:cs="Arial"/>
          <w:sz w:val="22"/>
          <w:szCs w:val="22"/>
        </w:rPr>
        <w:t xml:space="preserve"> </w:t>
      </w:r>
      <w:r w:rsidR="00F94B36" w:rsidRPr="0091270E">
        <w:rPr>
          <w:rFonts w:ascii="Arial" w:hAnsi="Arial" w:cs="Arial"/>
          <w:sz w:val="22"/>
          <w:szCs w:val="22"/>
        </w:rPr>
        <w:t>in inner urban areas provide an opportunity to manage demand by maximising the use of existing transport networks and services</w:t>
      </w:r>
      <w:r w:rsidR="0096728D" w:rsidRPr="0091270E">
        <w:rPr>
          <w:rFonts w:ascii="Arial" w:hAnsi="Arial" w:cs="Arial"/>
          <w:sz w:val="22"/>
          <w:szCs w:val="22"/>
        </w:rPr>
        <w:t xml:space="preserve">, particularly public transport routes which already have a high frequency. </w:t>
      </w:r>
    </w:p>
    <w:p w:rsidR="0096728D" w:rsidRPr="0091270E" w:rsidRDefault="0096728D" w:rsidP="00B77DE5">
      <w:pPr>
        <w:pStyle w:val="Default"/>
        <w:spacing w:after="120"/>
        <w:jc w:val="both"/>
        <w:rPr>
          <w:rFonts w:ascii="Arial" w:hAnsi="Arial" w:cs="Arial"/>
          <w:sz w:val="22"/>
          <w:szCs w:val="22"/>
        </w:rPr>
      </w:pPr>
      <w:r w:rsidRPr="0091270E">
        <w:rPr>
          <w:rFonts w:ascii="Arial" w:hAnsi="Arial" w:cs="Arial"/>
          <w:sz w:val="22"/>
          <w:szCs w:val="22"/>
        </w:rPr>
        <w:t xml:space="preserve">Infill development also represents an opportunity to increase </w:t>
      </w:r>
      <w:r w:rsidR="009C1CEA" w:rsidRPr="0091270E">
        <w:rPr>
          <w:rFonts w:ascii="Arial" w:hAnsi="Arial" w:cs="Arial"/>
          <w:sz w:val="22"/>
          <w:szCs w:val="22"/>
        </w:rPr>
        <w:t xml:space="preserve">population </w:t>
      </w:r>
      <w:r w:rsidRPr="0091270E">
        <w:rPr>
          <w:rFonts w:ascii="Arial" w:hAnsi="Arial" w:cs="Arial"/>
          <w:sz w:val="22"/>
          <w:szCs w:val="22"/>
        </w:rPr>
        <w:t xml:space="preserve">density </w:t>
      </w:r>
      <w:r w:rsidR="005D3CD2" w:rsidRPr="0091270E">
        <w:rPr>
          <w:rFonts w:ascii="Arial" w:hAnsi="Arial" w:cs="Arial"/>
          <w:sz w:val="22"/>
          <w:szCs w:val="22"/>
        </w:rPr>
        <w:t>and create a more compact urban form</w:t>
      </w:r>
      <w:r w:rsidR="00C55D1C">
        <w:rPr>
          <w:rFonts w:ascii="Arial" w:hAnsi="Arial" w:cs="Arial"/>
          <w:sz w:val="22"/>
          <w:szCs w:val="22"/>
        </w:rPr>
        <w:t>,</w:t>
      </w:r>
      <w:r w:rsidR="005D3CD2" w:rsidRPr="0091270E">
        <w:rPr>
          <w:rFonts w:ascii="Arial" w:hAnsi="Arial" w:cs="Arial"/>
          <w:sz w:val="22"/>
          <w:szCs w:val="22"/>
        </w:rPr>
        <w:t xml:space="preserve"> </w:t>
      </w:r>
      <w:r w:rsidRPr="0091270E">
        <w:rPr>
          <w:rFonts w:ascii="Arial" w:hAnsi="Arial" w:cs="Arial"/>
          <w:sz w:val="22"/>
          <w:szCs w:val="22"/>
        </w:rPr>
        <w:t>which makes the provision of public transport more sustainable from an economic perspective.</w:t>
      </w:r>
      <w:r w:rsidR="00DE66B0">
        <w:rPr>
          <w:rFonts w:ascii="Arial" w:hAnsi="Arial" w:cs="Arial"/>
          <w:sz w:val="22"/>
          <w:szCs w:val="22"/>
        </w:rPr>
        <w:t xml:space="preserve"> P</w:t>
      </w:r>
      <w:r w:rsidRPr="0091270E">
        <w:rPr>
          <w:rFonts w:ascii="Arial" w:hAnsi="Arial" w:cs="Arial"/>
          <w:sz w:val="22"/>
          <w:szCs w:val="22"/>
        </w:rPr>
        <w:t xml:space="preserve">eople </w:t>
      </w:r>
      <w:r w:rsidR="00DE66B0">
        <w:rPr>
          <w:rFonts w:ascii="Arial" w:hAnsi="Arial" w:cs="Arial"/>
          <w:sz w:val="22"/>
          <w:szCs w:val="22"/>
        </w:rPr>
        <w:t xml:space="preserve">are able to live </w:t>
      </w:r>
      <w:r w:rsidRPr="0091270E">
        <w:rPr>
          <w:rFonts w:ascii="Arial" w:hAnsi="Arial" w:cs="Arial"/>
          <w:sz w:val="22"/>
          <w:szCs w:val="22"/>
        </w:rPr>
        <w:t xml:space="preserve">closer to services and employment centres, meaning that </w:t>
      </w:r>
      <w:r w:rsidR="00C55D1C">
        <w:rPr>
          <w:rFonts w:ascii="Arial" w:hAnsi="Arial" w:cs="Arial"/>
          <w:sz w:val="22"/>
          <w:szCs w:val="22"/>
        </w:rPr>
        <w:t>they</w:t>
      </w:r>
      <w:r w:rsidR="00C55D1C" w:rsidRPr="0091270E">
        <w:rPr>
          <w:rFonts w:ascii="Arial" w:hAnsi="Arial" w:cs="Arial"/>
          <w:sz w:val="22"/>
          <w:szCs w:val="22"/>
        </w:rPr>
        <w:t xml:space="preserve"> </w:t>
      </w:r>
      <w:r w:rsidRPr="0091270E">
        <w:rPr>
          <w:rFonts w:ascii="Arial" w:hAnsi="Arial" w:cs="Arial"/>
          <w:sz w:val="22"/>
          <w:szCs w:val="22"/>
        </w:rPr>
        <w:t xml:space="preserve">are more likely to use alternative forms of transport </w:t>
      </w:r>
      <w:r w:rsidR="00C55D1C">
        <w:rPr>
          <w:rFonts w:ascii="Arial" w:hAnsi="Arial" w:cs="Arial"/>
          <w:sz w:val="22"/>
          <w:szCs w:val="22"/>
        </w:rPr>
        <w:t>(</w:t>
      </w:r>
      <w:r w:rsidRPr="0091270E">
        <w:rPr>
          <w:rFonts w:ascii="Arial" w:hAnsi="Arial" w:cs="Arial"/>
          <w:sz w:val="22"/>
          <w:szCs w:val="22"/>
        </w:rPr>
        <w:t>such as walking and cycling</w:t>
      </w:r>
      <w:r w:rsidR="00C55D1C">
        <w:rPr>
          <w:rFonts w:ascii="Arial" w:hAnsi="Arial" w:cs="Arial"/>
          <w:sz w:val="22"/>
          <w:szCs w:val="22"/>
        </w:rPr>
        <w:t>), because their typical journeys will be shorter</w:t>
      </w:r>
      <w:r w:rsidRPr="0091270E">
        <w:rPr>
          <w:rFonts w:ascii="Arial" w:hAnsi="Arial" w:cs="Arial"/>
          <w:sz w:val="22"/>
          <w:szCs w:val="22"/>
        </w:rPr>
        <w:t>.</w:t>
      </w:r>
    </w:p>
    <w:p w:rsidR="00DE66B0" w:rsidRDefault="002A26A9" w:rsidP="00DE66B0">
      <w:pPr>
        <w:pStyle w:val="Default"/>
        <w:spacing w:after="120"/>
        <w:jc w:val="both"/>
        <w:rPr>
          <w:rFonts w:ascii="Arial" w:hAnsi="Arial" w:cs="Arial"/>
          <w:sz w:val="22"/>
          <w:szCs w:val="22"/>
        </w:rPr>
      </w:pPr>
      <w:r w:rsidRPr="0091270E">
        <w:rPr>
          <w:rFonts w:ascii="Arial" w:hAnsi="Arial" w:cs="Arial"/>
          <w:sz w:val="22"/>
          <w:szCs w:val="22"/>
        </w:rPr>
        <w:lastRenderedPageBreak/>
        <w:t>From a transport perspective, there is a need for a policy intervention to encourage population growth in i</w:t>
      </w:r>
      <w:r w:rsidR="00DE66B0">
        <w:rPr>
          <w:rFonts w:ascii="Arial" w:hAnsi="Arial" w:cs="Arial"/>
          <w:sz w:val="22"/>
          <w:szCs w:val="22"/>
        </w:rPr>
        <w:t>nner urban areas where existing transport infrastructure is in place</w:t>
      </w:r>
      <w:r w:rsidR="00C55D1C">
        <w:rPr>
          <w:rFonts w:ascii="Arial" w:hAnsi="Arial" w:cs="Arial"/>
          <w:sz w:val="22"/>
          <w:szCs w:val="22"/>
        </w:rPr>
        <w:t>.</w:t>
      </w:r>
      <w:r w:rsidR="00DE66B0">
        <w:rPr>
          <w:rFonts w:ascii="Arial" w:hAnsi="Arial" w:cs="Arial"/>
          <w:sz w:val="22"/>
          <w:szCs w:val="22"/>
        </w:rPr>
        <w:t xml:space="preserve"> </w:t>
      </w:r>
      <w:r w:rsidR="00C55D1C">
        <w:rPr>
          <w:rFonts w:ascii="Arial" w:hAnsi="Arial" w:cs="Arial"/>
          <w:sz w:val="22"/>
          <w:szCs w:val="22"/>
        </w:rPr>
        <w:t xml:space="preserve">This is preferable to </w:t>
      </w:r>
      <w:r w:rsidR="00DE66B0">
        <w:rPr>
          <w:rFonts w:ascii="Arial" w:hAnsi="Arial" w:cs="Arial"/>
          <w:sz w:val="22"/>
          <w:szCs w:val="22"/>
        </w:rPr>
        <w:t xml:space="preserve">continuing </w:t>
      </w:r>
      <w:r w:rsidR="00C55D1C">
        <w:rPr>
          <w:rFonts w:ascii="Arial" w:hAnsi="Arial" w:cs="Arial"/>
          <w:sz w:val="22"/>
          <w:szCs w:val="22"/>
        </w:rPr>
        <w:t>the</w:t>
      </w:r>
      <w:r w:rsidR="00DE66B0">
        <w:rPr>
          <w:rFonts w:ascii="Arial" w:hAnsi="Arial" w:cs="Arial"/>
          <w:sz w:val="22"/>
          <w:szCs w:val="22"/>
        </w:rPr>
        <w:t xml:space="preserve"> </w:t>
      </w:r>
      <w:r w:rsidRPr="0091270E">
        <w:rPr>
          <w:rFonts w:ascii="Arial" w:hAnsi="Arial" w:cs="Arial"/>
          <w:sz w:val="22"/>
          <w:szCs w:val="22"/>
        </w:rPr>
        <w:t xml:space="preserve">unplanned </w:t>
      </w:r>
      <w:r w:rsidR="00C55D1C">
        <w:rPr>
          <w:rFonts w:ascii="Arial" w:hAnsi="Arial" w:cs="Arial"/>
          <w:sz w:val="22"/>
          <w:szCs w:val="22"/>
        </w:rPr>
        <w:t xml:space="preserve">shift in </w:t>
      </w:r>
      <w:r w:rsidRPr="0091270E">
        <w:rPr>
          <w:rFonts w:ascii="Arial" w:hAnsi="Arial" w:cs="Arial"/>
          <w:sz w:val="22"/>
          <w:szCs w:val="22"/>
        </w:rPr>
        <w:t xml:space="preserve">population </w:t>
      </w:r>
      <w:r w:rsidR="00C55D1C">
        <w:rPr>
          <w:rFonts w:ascii="Arial" w:hAnsi="Arial" w:cs="Arial"/>
          <w:sz w:val="22"/>
          <w:szCs w:val="22"/>
        </w:rPr>
        <w:t>towards</w:t>
      </w:r>
      <w:r w:rsidR="00DE66B0">
        <w:rPr>
          <w:rFonts w:ascii="Arial" w:hAnsi="Arial" w:cs="Arial"/>
          <w:sz w:val="22"/>
          <w:szCs w:val="22"/>
        </w:rPr>
        <w:t xml:space="preserve"> outer urban areas</w:t>
      </w:r>
      <w:r w:rsidR="00C55D1C">
        <w:rPr>
          <w:rFonts w:ascii="Arial" w:hAnsi="Arial" w:cs="Arial"/>
          <w:sz w:val="22"/>
          <w:szCs w:val="22"/>
        </w:rPr>
        <w:t xml:space="preserve">, which are most unlikely to </w:t>
      </w:r>
      <w:r w:rsidR="003B08A5">
        <w:rPr>
          <w:rFonts w:ascii="Arial" w:hAnsi="Arial" w:cs="Arial"/>
          <w:sz w:val="22"/>
          <w:szCs w:val="22"/>
        </w:rPr>
        <w:t xml:space="preserve">ever </w:t>
      </w:r>
      <w:r w:rsidR="00C55D1C">
        <w:rPr>
          <w:rFonts w:ascii="Arial" w:hAnsi="Arial" w:cs="Arial"/>
          <w:sz w:val="22"/>
          <w:szCs w:val="22"/>
        </w:rPr>
        <w:t>receive high quality public transport services and contribute to traffic congestion on major arterial roads because residents must rely heavily on car-based transport</w:t>
      </w:r>
      <w:r w:rsidR="00020BE4">
        <w:rPr>
          <w:rFonts w:ascii="Arial" w:hAnsi="Arial" w:cs="Arial"/>
          <w:sz w:val="22"/>
          <w:szCs w:val="22"/>
        </w:rPr>
        <w:t xml:space="preserve"> to access places of employment and services</w:t>
      </w:r>
      <w:r w:rsidR="00DE66B0">
        <w:rPr>
          <w:rFonts w:ascii="Arial" w:hAnsi="Arial" w:cs="Arial"/>
          <w:sz w:val="22"/>
          <w:szCs w:val="22"/>
        </w:rPr>
        <w:t>.</w:t>
      </w:r>
      <w:r w:rsidR="009C1CEA" w:rsidRPr="0091270E">
        <w:rPr>
          <w:rFonts w:ascii="Arial" w:hAnsi="Arial" w:cs="Arial"/>
          <w:sz w:val="22"/>
          <w:szCs w:val="22"/>
        </w:rPr>
        <w:t xml:space="preserve"> </w:t>
      </w:r>
    </w:p>
    <w:p w:rsidR="00F54D35" w:rsidRDefault="00315F0E" w:rsidP="00E52A9A">
      <w:pPr>
        <w:pStyle w:val="Heading2"/>
      </w:pPr>
      <w:bookmarkStart w:id="21" w:name="_Toc320197774"/>
      <w:bookmarkStart w:id="22" w:name="_Toc326833286"/>
      <w:r>
        <w:t>Low levels of p</w:t>
      </w:r>
      <w:r w:rsidR="00F54D35">
        <w:t>opulation density</w:t>
      </w:r>
      <w:bookmarkEnd w:id="21"/>
      <w:bookmarkEnd w:id="22"/>
    </w:p>
    <w:p w:rsidR="00315F0E" w:rsidRDefault="00315F0E" w:rsidP="00F54D35">
      <w:pPr>
        <w:pStyle w:val="Texttoreplace"/>
        <w:spacing w:after="120" w:line="240" w:lineRule="auto"/>
        <w:jc w:val="both"/>
        <w:rPr>
          <w:rFonts w:ascii="Arial" w:hAnsi="Arial" w:cs="Arial"/>
          <w:i w:val="0"/>
          <w:sz w:val="22"/>
          <w:lang w:val="en-GB"/>
        </w:rPr>
      </w:pPr>
      <w:r w:rsidRPr="00315F0E">
        <w:rPr>
          <w:rFonts w:ascii="Arial" w:hAnsi="Arial" w:cs="Arial"/>
          <w:b/>
          <w:i w:val="0"/>
          <w:sz w:val="22"/>
        </w:rPr>
        <w:t>The problem</w:t>
      </w:r>
      <w:r w:rsidRPr="00315F0E">
        <w:rPr>
          <w:rFonts w:ascii="Arial" w:hAnsi="Arial" w:cs="Arial"/>
          <w:i w:val="0"/>
          <w:sz w:val="22"/>
        </w:rPr>
        <w:t>:</w:t>
      </w:r>
      <w:r>
        <w:rPr>
          <w:rFonts w:cs="Arial"/>
        </w:rPr>
        <w:t xml:space="preserve"> </w:t>
      </w:r>
      <w:r w:rsidR="003B08A5">
        <w:rPr>
          <w:rFonts w:ascii="Arial" w:hAnsi="Arial" w:cs="Arial"/>
          <w:i w:val="0"/>
          <w:sz w:val="22"/>
        </w:rPr>
        <w:t xml:space="preserve">Like other Australian cities, </w:t>
      </w:r>
      <w:r w:rsidR="00F54D35">
        <w:rPr>
          <w:rFonts w:ascii="Arial" w:hAnsi="Arial" w:cs="Arial"/>
          <w:i w:val="0"/>
          <w:sz w:val="22"/>
        </w:rPr>
        <w:t xml:space="preserve">Greater Hobart is characterised by a </w:t>
      </w:r>
      <w:r w:rsidR="003B08A5">
        <w:rPr>
          <w:rFonts w:ascii="Arial" w:hAnsi="Arial" w:cs="Arial"/>
          <w:i w:val="0"/>
          <w:sz w:val="22"/>
        </w:rPr>
        <w:t xml:space="preserve">highly </w:t>
      </w:r>
      <w:r w:rsidR="00F54D35">
        <w:rPr>
          <w:rFonts w:ascii="Arial" w:hAnsi="Arial" w:cs="Arial"/>
          <w:i w:val="0"/>
          <w:sz w:val="22"/>
        </w:rPr>
        <w:t xml:space="preserve">dispersed settlement pattern. </w:t>
      </w:r>
      <w:r w:rsidR="003B08A5">
        <w:rPr>
          <w:rFonts w:ascii="Arial" w:hAnsi="Arial" w:cs="Arial"/>
          <w:i w:val="0"/>
          <w:sz w:val="22"/>
        </w:rPr>
        <w:t xml:space="preserve"> </w:t>
      </w:r>
      <w:r w:rsidR="00F54D35" w:rsidRPr="00174BEF">
        <w:rPr>
          <w:rFonts w:ascii="Arial" w:hAnsi="Arial" w:cs="Arial"/>
          <w:i w:val="0"/>
          <w:sz w:val="22"/>
        </w:rPr>
        <w:t>The average population density in Greater Hobart is 12 people per hectare</w:t>
      </w:r>
      <w:r w:rsidR="00060007">
        <w:rPr>
          <w:rFonts w:ascii="Arial" w:hAnsi="Arial" w:cs="Arial"/>
          <w:i w:val="0"/>
          <w:sz w:val="22"/>
        </w:rPr>
        <w:t xml:space="preserve"> (ABS 2006)</w:t>
      </w:r>
      <w:r w:rsidR="00F54D35">
        <w:rPr>
          <w:rFonts w:ascii="Arial" w:hAnsi="Arial" w:cs="Arial"/>
          <w:i w:val="0"/>
          <w:sz w:val="22"/>
        </w:rPr>
        <w:t xml:space="preserve">, and new development in outer urban areas has relatively low densities </w:t>
      </w:r>
      <w:r w:rsidR="00F54D35">
        <w:rPr>
          <w:rFonts w:ascii="Arial" w:hAnsi="Arial" w:cs="Arial"/>
          <w:i w:val="0"/>
          <w:sz w:val="22"/>
          <w:lang w:val="en-GB"/>
        </w:rPr>
        <w:t>of</w:t>
      </w:r>
      <w:r w:rsidR="00F54D35" w:rsidRPr="00801F68">
        <w:rPr>
          <w:rFonts w:ascii="Arial" w:hAnsi="Arial" w:cs="Arial"/>
          <w:i w:val="0"/>
          <w:sz w:val="22"/>
          <w:lang w:val="en-GB"/>
        </w:rPr>
        <w:t xml:space="preserve"> </w:t>
      </w:r>
      <w:r w:rsidR="00F54D35">
        <w:rPr>
          <w:rFonts w:ascii="Arial" w:hAnsi="Arial" w:cs="Arial"/>
          <w:i w:val="0"/>
          <w:sz w:val="22"/>
          <w:lang w:val="en-GB"/>
        </w:rPr>
        <w:t>seven</w:t>
      </w:r>
      <w:r w:rsidR="00F54D35" w:rsidRPr="00801F68">
        <w:rPr>
          <w:rFonts w:ascii="Arial" w:hAnsi="Arial" w:cs="Arial"/>
          <w:i w:val="0"/>
          <w:sz w:val="22"/>
          <w:lang w:val="en-GB"/>
        </w:rPr>
        <w:t xml:space="preserve"> to </w:t>
      </w:r>
      <w:r w:rsidR="00F54D35">
        <w:rPr>
          <w:rFonts w:ascii="Arial" w:hAnsi="Arial" w:cs="Arial"/>
          <w:i w:val="0"/>
          <w:sz w:val="22"/>
          <w:lang w:val="en-GB"/>
        </w:rPr>
        <w:t>ten</w:t>
      </w:r>
      <w:r w:rsidR="00F54D35" w:rsidRPr="00801F68">
        <w:rPr>
          <w:rFonts w:ascii="Arial" w:hAnsi="Arial" w:cs="Arial"/>
          <w:i w:val="0"/>
          <w:sz w:val="22"/>
          <w:lang w:val="en-GB"/>
        </w:rPr>
        <w:t xml:space="preserve"> dwellings per hectare</w:t>
      </w:r>
      <w:r w:rsidR="00F54D35">
        <w:rPr>
          <w:rFonts w:ascii="Arial" w:hAnsi="Arial" w:cs="Arial"/>
          <w:i w:val="0"/>
          <w:sz w:val="22"/>
          <w:lang w:val="en-GB"/>
        </w:rPr>
        <w:t xml:space="preserve"> (STCA 2011). </w:t>
      </w:r>
    </w:p>
    <w:p w:rsidR="00F54D35" w:rsidRDefault="00F54D35" w:rsidP="00F54D35">
      <w:pPr>
        <w:pStyle w:val="Texttoreplace"/>
        <w:spacing w:after="120" w:line="240" w:lineRule="auto"/>
        <w:jc w:val="both"/>
        <w:rPr>
          <w:rFonts w:ascii="Arial" w:hAnsi="Arial" w:cs="Arial"/>
          <w:i w:val="0"/>
          <w:sz w:val="22"/>
          <w:lang w:val="en-GB"/>
        </w:rPr>
      </w:pPr>
      <w:r>
        <w:rPr>
          <w:rFonts w:ascii="Arial" w:hAnsi="Arial" w:cs="Arial"/>
          <w:i w:val="0"/>
          <w:sz w:val="22"/>
          <w:lang w:val="en-GB"/>
        </w:rPr>
        <w:t xml:space="preserve">This </w:t>
      </w:r>
      <w:r w:rsidR="00315F0E">
        <w:rPr>
          <w:rFonts w:ascii="Arial" w:hAnsi="Arial" w:cs="Arial"/>
          <w:i w:val="0"/>
          <w:sz w:val="22"/>
          <w:lang w:val="en-GB"/>
        </w:rPr>
        <w:t xml:space="preserve">level of density </w:t>
      </w:r>
      <w:r>
        <w:rPr>
          <w:rFonts w:ascii="Arial" w:hAnsi="Arial" w:cs="Arial"/>
          <w:i w:val="0"/>
          <w:sz w:val="22"/>
          <w:lang w:val="en-GB"/>
        </w:rPr>
        <w:t xml:space="preserve">is well below the agreed standard </w:t>
      </w:r>
      <w:r w:rsidR="00B0157C" w:rsidRPr="00B0157C">
        <w:rPr>
          <w:rFonts w:ascii="Arial" w:hAnsi="Arial" w:cs="Arial"/>
          <w:i w:val="0"/>
          <w:sz w:val="22"/>
          <w:lang w:val="en-GB"/>
        </w:rPr>
        <w:t>adopted by other states such as New South Wales</w:t>
      </w:r>
      <w:r w:rsidR="003B08A5">
        <w:rPr>
          <w:rFonts w:ascii="Arial" w:hAnsi="Arial" w:cs="Arial"/>
          <w:i w:val="0"/>
          <w:sz w:val="22"/>
          <w:lang w:val="en-GB"/>
        </w:rPr>
        <w:t xml:space="preserve"> </w:t>
      </w:r>
      <w:r>
        <w:rPr>
          <w:rFonts w:ascii="Arial" w:hAnsi="Arial" w:cs="Arial"/>
          <w:i w:val="0"/>
          <w:sz w:val="22"/>
          <w:lang w:val="en-GB"/>
        </w:rPr>
        <w:t>for effective delivery of public transport services</w:t>
      </w:r>
      <w:r w:rsidR="003B08A5">
        <w:rPr>
          <w:rFonts w:ascii="Arial" w:hAnsi="Arial" w:cs="Arial"/>
          <w:i w:val="0"/>
          <w:sz w:val="22"/>
          <w:lang w:val="en-GB"/>
        </w:rPr>
        <w:t>,</w:t>
      </w:r>
      <w:r>
        <w:rPr>
          <w:rFonts w:ascii="Arial" w:hAnsi="Arial" w:cs="Arial"/>
          <w:i w:val="0"/>
          <w:sz w:val="22"/>
          <w:lang w:val="en-GB"/>
        </w:rPr>
        <w:t xml:space="preserve"> which is a minimum of </w:t>
      </w:r>
      <w:r w:rsidRPr="00AD2D0B">
        <w:rPr>
          <w:rFonts w:ascii="Arial" w:hAnsi="Arial" w:cs="Arial"/>
          <w:i w:val="0"/>
          <w:sz w:val="22"/>
          <w:lang w:val="en-GB"/>
        </w:rPr>
        <w:t>15</w:t>
      </w:r>
      <w:r>
        <w:rPr>
          <w:rFonts w:ascii="Arial" w:hAnsi="Arial" w:cs="Arial"/>
          <w:i w:val="0"/>
          <w:sz w:val="22"/>
          <w:lang w:val="en-GB"/>
        </w:rPr>
        <w:t xml:space="preserve"> dwellings per hectare</w:t>
      </w:r>
      <w:r w:rsidR="00651F36">
        <w:rPr>
          <w:rFonts w:ascii="Arial" w:hAnsi="Arial" w:cs="Arial"/>
          <w:i w:val="0"/>
          <w:sz w:val="22"/>
          <w:lang w:val="en-GB"/>
        </w:rPr>
        <w:t xml:space="preserve"> (NSW 2001)</w:t>
      </w:r>
      <w:r>
        <w:rPr>
          <w:rFonts w:ascii="Arial" w:hAnsi="Arial" w:cs="Arial"/>
          <w:i w:val="0"/>
          <w:sz w:val="22"/>
          <w:lang w:val="en-GB"/>
        </w:rPr>
        <w:t>.</w:t>
      </w:r>
      <w:r w:rsidR="00315F0E">
        <w:rPr>
          <w:rFonts w:ascii="Arial" w:hAnsi="Arial" w:cs="Arial"/>
          <w:i w:val="0"/>
          <w:sz w:val="22"/>
          <w:lang w:val="en-GB"/>
        </w:rPr>
        <w:t xml:space="preserve"> </w:t>
      </w:r>
      <w:r w:rsidR="001B0204" w:rsidRPr="001B0204">
        <w:rPr>
          <w:rFonts w:ascii="Arial" w:hAnsi="Arial" w:cs="Arial"/>
          <w:i w:val="0"/>
          <w:color w:val="000000"/>
          <w:sz w:val="22"/>
        </w:rPr>
        <w:t>The low density pattern of development</w:t>
      </w:r>
      <w:r w:rsidR="001B0204">
        <w:rPr>
          <w:rFonts w:ascii="Arial" w:hAnsi="Arial" w:cs="Arial"/>
          <w:i w:val="0"/>
          <w:color w:val="000000"/>
          <w:sz w:val="22"/>
        </w:rPr>
        <w:t xml:space="preserve"> in Greater Hobart</w:t>
      </w:r>
      <w:r w:rsidR="001B0204" w:rsidRPr="001B0204">
        <w:rPr>
          <w:rFonts w:ascii="Arial" w:hAnsi="Arial" w:cs="Arial"/>
          <w:i w:val="0"/>
          <w:color w:val="000000"/>
          <w:sz w:val="22"/>
        </w:rPr>
        <w:t xml:space="preserve"> has resulted in bus routes being planned, generally, on a low-frequency, high-penetration basis. This means that bus routes are often long and </w:t>
      </w:r>
      <w:r w:rsidR="003B08A5">
        <w:rPr>
          <w:rFonts w:ascii="Arial" w:hAnsi="Arial" w:cs="Arial"/>
          <w:i w:val="0"/>
          <w:color w:val="000000"/>
          <w:sz w:val="22"/>
        </w:rPr>
        <w:t>circuitous, and can</w:t>
      </w:r>
      <w:r w:rsidR="001B0204" w:rsidRPr="001B0204">
        <w:rPr>
          <w:rFonts w:ascii="Arial" w:hAnsi="Arial" w:cs="Arial"/>
          <w:i w:val="0"/>
          <w:color w:val="000000"/>
          <w:sz w:val="22"/>
        </w:rPr>
        <w:t xml:space="preserve">not </w:t>
      </w:r>
      <w:r w:rsidR="003B08A5">
        <w:rPr>
          <w:rFonts w:ascii="Arial" w:hAnsi="Arial" w:cs="Arial"/>
          <w:i w:val="0"/>
          <w:color w:val="000000"/>
          <w:sz w:val="22"/>
        </w:rPr>
        <w:t xml:space="preserve">be </w:t>
      </w:r>
      <w:r w:rsidR="001B0204" w:rsidRPr="001B0204">
        <w:rPr>
          <w:rFonts w:ascii="Arial" w:hAnsi="Arial" w:cs="Arial"/>
          <w:i w:val="0"/>
          <w:color w:val="000000"/>
          <w:sz w:val="22"/>
        </w:rPr>
        <w:t>competitive with the car</w:t>
      </w:r>
      <w:r w:rsidR="00407858">
        <w:rPr>
          <w:rFonts w:ascii="Arial" w:hAnsi="Arial" w:cs="Arial"/>
          <w:i w:val="0"/>
          <w:color w:val="000000"/>
          <w:sz w:val="22"/>
        </w:rPr>
        <w:t xml:space="preserve"> in terms of travel time</w:t>
      </w:r>
      <w:r w:rsidR="001B0204" w:rsidRPr="001B0204">
        <w:rPr>
          <w:rFonts w:ascii="Arial" w:hAnsi="Arial" w:cs="Arial"/>
          <w:i w:val="0"/>
          <w:color w:val="000000"/>
          <w:sz w:val="22"/>
        </w:rPr>
        <w:t xml:space="preserve">. </w:t>
      </w:r>
      <w:r w:rsidR="00C51D8B" w:rsidRPr="00C51D8B">
        <w:rPr>
          <w:rFonts w:ascii="Arial" w:hAnsi="Arial" w:cs="Arial"/>
          <w:i w:val="0"/>
          <w:color w:val="000000"/>
          <w:sz w:val="22"/>
        </w:rPr>
        <w:t xml:space="preserve">Providing </w:t>
      </w:r>
      <w:r w:rsidR="003B08A5">
        <w:rPr>
          <w:rFonts w:ascii="Arial" w:hAnsi="Arial" w:cs="Arial"/>
          <w:i w:val="0"/>
          <w:color w:val="000000"/>
          <w:sz w:val="22"/>
        </w:rPr>
        <w:t xml:space="preserve">adequate </w:t>
      </w:r>
      <w:r w:rsidR="00C51D8B" w:rsidRPr="00C51D8B">
        <w:rPr>
          <w:rFonts w:ascii="Arial" w:hAnsi="Arial" w:cs="Arial"/>
          <w:i w:val="0"/>
          <w:color w:val="000000"/>
          <w:sz w:val="22"/>
        </w:rPr>
        <w:t xml:space="preserve">coverage, speed and frequency </w:t>
      </w:r>
      <w:r w:rsidR="003B08A5">
        <w:rPr>
          <w:rFonts w:ascii="Arial" w:hAnsi="Arial" w:cs="Arial"/>
          <w:i w:val="0"/>
          <w:color w:val="000000"/>
          <w:sz w:val="22"/>
        </w:rPr>
        <w:t xml:space="preserve">simultaneously </w:t>
      </w:r>
      <w:r w:rsidR="00C51D8B" w:rsidRPr="00C51D8B">
        <w:rPr>
          <w:rFonts w:ascii="Arial" w:hAnsi="Arial" w:cs="Arial"/>
          <w:i w:val="0"/>
          <w:color w:val="000000"/>
          <w:sz w:val="22"/>
        </w:rPr>
        <w:t xml:space="preserve">for public transport is </w:t>
      </w:r>
      <w:r w:rsidR="003B08A5">
        <w:rPr>
          <w:rFonts w:ascii="Arial" w:hAnsi="Arial" w:cs="Arial"/>
          <w:i w:val="0"/>
          <w:color w:val="000000"/>
          <w:sz w:val="22"/>
        </w:rPr>
        <w:t>very costly</w:t>
      </w:r>
      <w:r w:rsidR="00C51D8B" w:rsidRPr="00C51D8B">
        <w:rPr>
          <w:rFonts w:ascii="Arial" w:hAnsi="Arial" w:cs="Arial"/>
          <w:i w:val="0"/>
          <w:color w:val="000000"/>
          <w:sz w:val="22"/>
        </w:rPr>
        <w:t xml:space="preserve"> in a low density city such as Hobart.</w:t>
      </w:r>
    </w:p>
    <w:p w:rsidR="001B0204" w:rsidRPr="00C51D8B" w:rsidRDefault="001B0204" w:rsidP="00C51D8B">
      <w:pPr>
        <w:autoSpaceDE w:val="0"/>
        <w:autoSpaceDN w:val="0"/>
        <w:adjustRightInd w:val="0"/>
        <w:spacing w:after="120" w:line="240" w:lineRule="auto"/>
        <w:jc w:val="both"/>
        <w:rPr>
          <w:rFonts w:cs="Arial"/>
          <w:color w:val="000000"/>
        </w:rPr>
      </w:pPr>
      <w:r w:rsidRPr="00A50230">
        <w:rPr>
          <w:rFonts w:cs="Arial"/>
        </w:rPr>
        <w:t>Low density urban areas often have high levels of car ownership and use, due to the spatial diversity of travel patterns</w:t>
      </w:r>
      <w:r>
        <w:rPr>
          <w:rFonts w:cs="Arial"/>
        </w:rPr>
        <w:t xml:space="preserve">. </w:t>
      </w:r>
    </w:p>
    <w:p w:rsidR="007F59A4" w:rsidRDefault="00315F0E" w:rsidP="00D06CD9">
      <w:pPr>
        <w:autoSpaceDE w:val="0"/>
        <w:autoSpaceDN w:val="0"/>
        <w:adjustRightInd w:val="0"/>
        <w:spacing w:after="120" w:line="240" w:lineRule="auto"/>
        <w:jc w:val="both"/>
        <w:rPr>
          <w:rFonts w:cs="Arial"/>
        </w:rPr>
      </w:pPr>
      <w:r w:rsidRPr="00315F0E">
        <w:rPr>
          <w:rFonts w:cs="Arial"/>
          <w:b/>
        </w:rPr>
        <w:t>The cause:</w:t>
      </w:r>
      <w:r>
        <w:rPr>
          <w:rFonts w:cs="Arial"/>
          <w:b/>
        </w:rPr>
        <w:t xml:space="preserve"> </w:t>
      </w:r>
      <w:r w:rsidR="00D06CD9">
        <w:rPr>
          <w:rFonts w:cs="Arial"/>
        </w:rPr>
        <w:t xml:space="preserve">Greater Hobart’s </w:t>
      </w:r>
      <w:r w:rsidR="007440EC">
        <w:rPr>
          <w:rFonts w:cs="Arial"/>
        </w:rPr>
        <w:t xml:space="preserve">dispersed development pattern is </w:t>
      </w:r>
      <w:r w:rsidR="007F59A4">
        <w:rPr>
          <w:rFonts w:cs="Arial"/>
        </w:rPr>
        <w:t xml:space="preserve">partly </w:t>
      </w:r>
      <w:r w:rsidR="00D06CD9">
        <w:rPr>
          <w:rFonts w:cs="Arial"/>
        </w:rPr>
        <w:t>influenced by its environmental setting, with the Derwent River, Mount Wellington and Meehan Range restricting th</w:t>
      </w:r>
      <w:r w:rsidR="007440EC">
        <w:rPr>
          <w:rFonts w:cs="Arial"/>
        </w:rPr>
        <w:t xml:space="preserve">e location of urban development. </w:t>
      </w:r>
    </w:p>
    <w:p w:rsidR="00D06CD9" w:rsidRDefault="007440EC" w:rsidP="00D06CD9">
      <w:pPr>
        <w:autoSpaceDE w:val="0"/>
        <w:autoSpaceDN w:val="0"/>
        <w:adjustRightInd w:val="0"/>
        <w:spacing w:after="120" w:line="240" w:lineRule="auto"/>
        <w:jc w:val="both"/>
        <w:rPr>
          <w:rFonts w:cs="Arial"/>
        </w:rPr>
      </w:pPr>
      <w:r>
        <w:rPr>
          <w:rFonts w:cs="Arial"/>
        </w:rPr>
        <w:t xml:space="preserve">Density patterns are </w:t>
      </w:r>
      <w:r w:rsidR="00C51D8B">
        <w:rPr>
          <w:rFonts w:cs="Arial"/>
        </w:rPr>
        <w:t xml:space="preserve">also </w:t>
      </w:r>
      <w:r>
        <w:rPr>
          <w:rFonts w:cs="Arial"/>
        </w:rPr>
        <w:t xml:space="preserve">closely related to </w:t>
      </w:r>
      <w:r>
        <w:rPr>
          <w:sz w:val="23"/>
          <w:szCs w:val="23"/>
        </w:rPr>
        <w:t xml:space="preserve">the policy shift of separating land </w:t>
      </w:r>
      <w:r w:rsidR="003A548F">
        <w:rPr>
          <w:sz w:val="23"/>
          <w:szCs w:val="23"/>
        </w:rPr>
        <w:t>uses</w:t>
      </w:r>
      <w:r w:rsidR="007B7B27">
        <w:rPr>
          <w:sz w:val="23"/>
          <w:szCs w:val="23"/>
        </w:rPr>
        <w:t>,</w:t>
      </w:r>
      <w:r w:rsidR="003A548F">
        <w:rPr>
          <w:sz w:val="23"/>
          <w:szCs w:val="23"/>
        </w:rPr>
        <w:t xml:space="preserve"> which occurred during the T</w:t>
      </w:r>
      <w:r>
        <w:rPr>
          <w:sz w:val="23"/>
          <w:szCs w:val="23"/>
        </w:rPr>
        <w:t xml:space="preserve">wentieth </w:t>
      </w:r>
      <w:r w:rsidR="003A548F">
        <w:rPr>
          <w:sz w:val="23"/>
          <w:szCs w:val="23"/>
        </w:rPr>
        <w:t>C</w:t>
      </w:r>
      <w:r>
        <w:rPr>
          <w:sz w:val="23"/>
          <w:szCs w:val="23"/>
        </w:rPr>
        <w:t xml:space="preserve">entury. Older inner urban areas generally have higher densities, a mixture of housing types and contain more mixed use developments, as different forms of land use were located together as the main form of transport was </w:t>
      </w:r>
      <w:r w:rsidR="007F59A4">
        <w:rPr>
          <w:sz w:val="23"/>
          <w:szCs w:val="23"/>
        </w:rPr>
        <w:t>public transport</w:t>
      </w:r>
      <w:r w:rsidR="007F59A4" w:rsidRPr="007F59A4">
        <w:rPr>
          <w:sz w:val="23"/>
          <w:szCs w:val="23"/>
        </w:rPr>
        <w:t xml:space="preserve"> </w:t>
      </w:r>
      <w:r w:rsidR="007F59A4">
        <w:rPr>
          <w:sz w:val="23"/>
          <w:szCs w:val="23"/>
        </w:rPr>
        <w:t xml:space="preserve">and walking. </w:t>
      </w:r>
      <w:r w:rsidR="003615E9">
        <w:rPr>
          <w:sz w:val="23"/>
          <w:szCs w:val="23"/>
        </w:rPr>
        <w:t>The Main Road is an example of higher densities and mixed use evolving around a public transport corridor.</w:t>
      </w:r>
    </w:p>
    <w:p w:rsidR="00C51D8B" w:rsidRPr="00A7478A" w:rsidRDefault="007440EC" w:rsidP="007440EC">
      <w:pPr>
        <w:autoSpaceDE w:val="0"/>
        <w:autoSpaceDN w:val="0"/>
        <w:adjustRightInd w:val="0"/>
        <w:spacing w:after="120" w:line="240" w:lineRule="auto"/>
        <w:jc w:val="both"/>
        <w:rPr>
          <w:rFonts w:cs="Arial"/>
          <w:lang w:val="en-GB"/>
        </w:rPr>
      </w:pPr>
      <w:r>
        <w:rPr>
          <w:sz w:val="23"/>
          <w:szCs w:val="23"/>
        </w:rPr>
        <w:t xml:space="preserve">With the rise of the car, land use policy </w:t>
      </w:r>
      <w:r w:rsidR="003A548F">
        <w:rPr>
          <w:sz w:val="23"/>
          <w:szCs w:val="23"/>
        </w:rPr>
        <w:t xml:space="preserve">shifted towards the distinct separation of </w:t>
      </w:r>
      <w:r>
        <w:rPr>
          <w:sz w:val="23"/>
          <w:szCs w:val="23"/>
        </w:rPr>
        <w:t xml:space="preserve">land uses. </w:t>
      </w:r>
      <w:r w:rsidR="003615E9">
        <w:rPr>
          <w:sz w:val="23"/>
          <w:szCs w:val="23"/>
        </w:rPr>
        <w:t xml:space="preserve">This resulted in growth occurring away from inner urban areas and public transport corridors. </w:t>
      </w:r>
      <w:r>
        <w:rPr>
          <w:sz w:val="23"/>
          <w:szCs w:val="23"/>
        </w:rPr>
        <w:t xml:space="preserve">Newer outer urban areas are dominated by single detached dwellings, lower densities and lack </w:t>
      </w:r>
      <w:r w:rsidR="00C51D8B">
        <w:rPr>
          <w:sz w:val="23"/>
          <w:szCs w:val="23"/>
        </w:rPr>
        <w:t>activity</w:t>
      </w:r>
      <w:r w:rsidR="003A548F">
        <w:rPr>
          <w:sz w:val="23"/>
          <w:szCs w:val="23"/>
        </w:rPr>
        <w:t xml:space="preserve"> centres, thus forcing people to be more car-</w:t>
      </w:r>
      <w:r>
        <w:rPr>
          <w:sz w:val="23"/>
          <w:szCs w:val="23"/>
        </w:rPr>
        <w:t xml:space="preserve">reliant.  </w:t>
      </w:r>
      <w:r w:rsidR="007F59A4">
        <w:rPr>
          <w:sz w:val="23"/>
          <w:szCs w:val="23"/>
        </w:rPr>
        <w:t>This is still the predominant patt</w:t>
      </w:r>
      <w:r w:rsidR="00A7478A">
        <w:rPr>
          <w:sz w:val="23"/>
          <w:szCs w:val="23"/>
        </w:rPr>
        <w:t xml:space="preserve">ern of growth in Greater Hobart, </w:t>
      </w:r>
      <w:r w:rsidR="00A7478A" w:rsidRPr="00A7478A">
        <w:rPr>
          <w:sz w:val="23"/>
          <w:szCs w:val="23"/>
        </w:rPr>
        <w:t xml:space="preserve">with </w:t>
      </w:r>
      <w:r w:rsidR="00A7478A" w:rsidRPr="00A7478A">
        <w:rPr>
          <w:rFonts w:cs="Arial"/>
          <w:lang w:val="en-GB"/>
        </w:rPr>
        <w:t xml:space="preserve">approximately 85 </w:t>
      </w:r>
      <w:r w:rsidR="0036420A">
        <w:rPr>
          <w:rFonts w:cs="Arial"/>
          <w:lang w:val="en-GB"/>
        </w:rPr>
        <w:t>per cent</w:t>
      </w:r>
      <w:r w:rsidR="00A7478A" w:rsidRPr="00A7478A">
        <w:rPr>
          <w:rFonts w:cs="Arial"/>
          <w:lang w:val="en-GB"/>
        </w:rPr>
        <w:t xml:space="preserve"> of new dwellings </w:t>
      </w:r>
      <w:r w:rsidR="00C51D8B" w:rsidRPr="00A7478A">
        <w:rPr>
          <w:rFonts w:cs="Arial"/>
          <w:lang w:val="en-GB"/>
        </w:rPr>
        <w:t>occur</w:t>
      </w:r>
      <w:r w:rsidR="00C51D8B">
        <w:rPr>
          <w:rFonts w:cs="Arial"/>
          <w:lang w:val="en-GB"/>
        </w:rPr>
        <w:t>ring</w:t>
      </w:r>
      <w:r w:rsidR="00A7478A" w:rsidRPr="00A7478A">
        <w:rPr>
          <w:rFonts w:cs="Arial"/>
          <w:lang w:val="en-GB"/>
        </w:rPr>
        <w:t xml:space="preserve"> </w:t>
      </w:r>
      <w:r w:rsidR="00C51D8B">
        <w:rPr>
          <w:rFonts w:cs="Arial"/>
          <w:lang w:val="en-GB"/>
        </w:rPr>
        <w:t>in</w:t>
      </w:r>
      <w:r w:rsidR="00A7478A" w:rsidRPr="00A7478A">
        <w:rPr>
          <w:rFonts w:cs="Arial"/>
          <w:lang w:val="en-GB"/>
        </w:rPr>
        <w:t xml:space="preserve"> Greenfield development</w:t>
      </w:r>
      <w:r w:rsidR="00C51D8B">
        <w:rPr>
          <w:rFonts w:cs="Arial"/>
          <w:lang w:val="en-GB"/>
        </w:rPr>
        <w:t>s</w:t>
      </w:r>
      <w:r w:rsidR="00A7478A">
        <w:rPr>
          <w:rFonts w:cs="Arial"/>
          <w:i/>
          <w:lang w:val="en-GB"/>
        </w:rPr>
        <w:t xml:space="preserve"> </w:t>
      </w:r>
      <w:r w:rsidR="00A7478A" w:rsidRPr="00A7478A">
        <w:rPr>
          <w:rFonts w:cs="Arial"/>
          <w:lang w:val="en-GB"/>
        </w:rPr>
        <w:t>(STCA 2011).</w:t>
      </w:r>
    </w:p>
    <w:p w:rsidR="00C51D8B" w:rsidRPr="004140A4" w:rsidRDefault="003615E9" w:rsidP="007F59A4">
      <w:pPr>
        <w:spacing w:after="120" w:line="240" w:lineRule="auto"/>
        <w:jc w:val="both"/>
      </w:pPr>
      <w:r>
        <w:rPr>
          <w:rFonts w:cs="Arial"/>
          <w:b/>
        </w:rPr>
        <w:t>What is occurring</w:t>
      </w:r>
      <w:r w:rsidR="007F59A4" w:rsidRPr="00470864">
        <w:rPr>
          <w:rFonts w:cs="Arial"/>
          <w:b/>
        </w:rPr>
        <w:t>:</w:t>
      </w:r>
      <w:r w:rsidR="007F59A4">
        <w:rPr>
          <w:rFonts w:cs="Arial"/>
        </w:rPr>
        <w:t xml:space="preserve"> </w:t>
      </w:r>
      <w:r w:rsidR="007440EC" w:rsidRPr="00A90D68">
        <w:rPr>
          <w:rFonts w:cs="Arial"/>
        </w:rPr>
        <w:t>Mixed use and more compact development is one way that the planning system</w:t>
      </w:r>
      <w:r w:rsidR="007440EC">
        <w:rPr>
          <w:rFonts w:cs="Arial"/>
        </w:rPr>
        <w:t xml:space="preserve"> can </w:t>
      </w:r>
      <w:r w:rsidR="007440EC" w:rsidRPr="00A90D68">
        <w:rPr>
          <w:rFonts w:cs="Arial"/>
        </w:rPr>
        <w:t xml:space="preserve">respond to take advantage of existing transport infrastructure. </w:t>
      </w:r>
      <w:r>
        <w:rPr>
          <w:rFonts w:cs="Arial"/>
        </w:rPr>
        <w:t xml:space="preserve">The </w:t>
      </w:r>
      <w:r w:rsidRPr="00315F0E">
        <w:rPr>
          <w:rFonts w:cs="Arial"/>
          <w:i/>
        </w:rPr>
        <w:t>Southern Regional Land Use Strategy</w:t>
      </w:r>
      <w:r>
        <w:rPr>
          <w:rFonts w:cs="Arial"/>
          <w:i/>
        </w:rPr>
        <w:t xml:space="preserve"> </w:t>
      </w:r>
      <w:r w:rsidRPr="003615E9">
        <w:rPr>
          <w:rFonts w:cs="Arial"/>
        </w:rPr>
        <w:t>encourages</w:t>
      </w:r>
      <w:r>
        <w:rPr>
          <w:rFonts w:cs="Arial"/>
        </w:rPr>
        <w:t xml:space="preserve"> higher densities and mixed use development patterns, particularly in inner urban areas</w:t>
      </w:r>
      <w:r w:rsidR="004140A4">
        <w:rPr>
          <w:rFonts w:cs="Arial"/>
        </w:rPr>
        <w:t xml:space="preserve"> and along high frequency public transport corridors</w:t>
      </w:r>
      <w:r>
        <w:rPr>
          <w:rFonts w:cs="Arial"/>
        </w:rPr>
        <w:t>.</w:t>
      </w:r>
      <w:r w:rsidR="004140A4">
        <w:rPr>
          <w:rFonts w:cs="Arial"/>
        </w:rPr>
        <w:t xml:space="preserve"> </w:t>
      </w:r>
      <w:r w:rsidR="007F59A4">
        <w:t xml:space="preserve">This maximises the number of people able to easily access public transport and increases the attractiveness of the service by linking to popular destinations. </w:t>
      </w:r>
    </w:p>
    <w:p w:rsidR="007F59A4" w:rsidRDefault="00A7478A" w:rsidP="007F59A4">
      <w:pPr>
        <w:spacing w:after="120" w:line="240" w:lineRule="auto"/>
        <w:jc w:val="both"/>
      </w:pPr>
      <w:r>
        <w:t xml:space="preserve">Increasing density adjacent to </w:t>
      </w:r>
      <w:r w:rsidR="004140A4">
        <w:t>public transport c</w:t>
      </w:r>
      <w:r w:rsidR="007930EE">
        <w:t>orridor</w:t>
      </w:r>
      <w:r w:rsidR="004140A4">
        <w:t>s</w:t>
      </w:r>
      <w:r>
        <w:t xml:space="preserve"> will </w:t>
      </w:r>
      <w:r w:rsidR="00C51D8B">
        <w:rPr>
          <w:rFonts w:cs="Arial"/>
        </w:rPr>
        <w:t>lead to greater demand for public transport</w:t>
      </w:r>
      <w:r w:rsidR="00C51D8B">
        <w:t xml:space="preserve">. </w:t>
      </w:r>
      <w:r w:rsidRPr="00A90D68">
        <w:rPr>
          <w:rFonts w:cs="Arial"/>
        </w:rPr>
        <w:t>Studies h</w:t>
      </w:r>
      <w:r>
        <w:rPr>
          <w:rFonts w:cs="Arial"/>
        </w:rPr>
        <w:t>ave found residents in transit-</w:t>
      </w:r>
      <w:r w:rsidRPr="00A90D68">
        <w:rPr>
          <w:rFonts w:cs="Arial"/>
        </w:rPr>
        <w:t xml:space="preserve">oriented developments have 50 </w:t>
      </w:r>
      <w:r w:rsidR="0036420A">
        <w:rPr>
          <w:rFonts w:cs="Arial"/>
        </w:rPr>
        <w:t>per cent</w:t>
      </w:r>
      <w:r w:rsidRPr="00A90D68">
        <w:rPr>
          <w:rFonts w:cs="Arial"/>
        </w:rPr>
        <w:t xml:space="preserve"> less car use per household and save around 20 </w:t>
      </w:r>
      <w:r w:rsidR="0036420A">
        <w:rPr>
          <w:rFonts w:cs="Arial"/>
        </w:rPr>
        <w:t>per cent</w:t>
      </w:r>
      <w:r w:rsidRPr="00A90D68">
        <w:rPr>
          <w:rFonts w:cs="Arial"/>
        </w:rPr>
        <w:t xml:space="preserve"> of their household income because they need one less car (Newman 2004).</w:t>
      </w:r>
    </w:p>
    <w:p w:rsidR="00436057" w:rsidRPr="00C51D8B" w:rsidRDefault="00C51D8B" w:rsidP="00E52A9A">
      <w:pPr>
        <w:pStyle w:val="Heading2"/>
      </w:pPr>
      <w:bookmarkStart w:id="23" w:name="_Toc320197775"/>
      <w:bookmarkStart w:id="24" w:name="_Toc326833287"/>
      <w:r w:rsidRPr="00C51D8B">
        <w:lastRenderedPageBreak/>
        <w:t xml:space="preserve">An </w:t>
      </w:r>
      <w:r w:rsidR="000E6976">
        <w:t>ageing</w:t>
      </w:r>
      <w:r w:rsidR="00436057" w:rsidRPr="00C51D8B">
        <w:t xml:space="preserve"> population</w:t>
      </w:r>
      <w:bookmarkEnd w:id="23"/>
      <w:bookmarkEnd w:id="24"/>
    </w:p>
    <w:p w:rsidR="00BB23D5" w:rsidRDefault="00C51D8B" w:rsidP="00546F2E">
      <w:pPr>
        <w:autoSpaceDE w:val="0"/>
        <w:autoSpaceDN w:val="0"/>
        <w:adjustRightInd w:val="0"/>
        <w:spacing w:after="120" w:line="240" w:lineRule="auto"/>
        <w:jc w:val="both"/>
        <w:rPr>
          <w:rFonts w:cs="Arial"/>
        </w:rPr>
      </w:pPr>
      <w:r w:rsidRPr="00C51D8B">
        <w:rPr>
          <w:rFonts w:cs="Arial"/>
          <w:b/>
        </w:rPr>
        <w:t xml:space="preserve">The </w:t>
      </w:r>
      <w:r w:rsidR="00B162CE">
        <w:rPr>
          <w:rFonts w:cs="Arial"/>
          <w:b/>
        </w:rPr>
        <w:t>p</w:t>
      </w:r>
      <w:r w:rsidRPr="00C51D8B">
        <w:rPr>
          <w:rFonts w:cs="Arial"/>
          <w:b/>
        </w:rPr>
        <w:t>roblem:</w:t>
      </w:r>
      <w:r>
        <w:rPr>
          <w:rFonts w:cs="Arial"/>
        </w:rPr>
        <w:t xml:space="preserve"> </w:t>
      </w:r>
      <w:r w:rsidR="0057000B" w:rsidRPr="00C51D8B">
        <w:rPr>
          <w:rFonts w:cs="Arial"/>
        </w:rPr>
        <w:t xml:space="preserve">Tasmania has the oldest population profile in Australia and the population is projected to experience </w:t>
      </w:r>
      <w:r w:rsidR="000E6976">
        <w:rPr>
          <w:rFonts w:cs="Arial"/>
        </w:rPr>
        <w:t>ageing</w:t>
      </w:r>
      <w:r w:rsidR="0057000B" w:rsidRPr="00C51D8B">
        <w:rPr>
          <w:rFonts w:cs="Arial"/>
        </w:rPr>
        <w:t xml:space="preserve"> more rapidly than </w:t>
      </w:r>
      <w:r w:rsidR="00547A59">
        <w:rPr>
          <w:rFonts w:cs="Arial"/>
        </w:rPr>
        <w:t xml:space="preserve">any </w:t>
      </w:r>
      <w:r w:rsidR="0057000B" w:rsidRPr="00C51D8B">
        <w:rPr>
          <w:rFonts w:cs="Arial"/>
        </w:rPr>
        <w:t>ot</w:t>
      </w:r>
      <w:r w:rsidR="00547A59">
        <w:rPr>
          <w:rFonts w:cs="Arial"/>
        </w:rPr>
        <w:t xml:space="preserve">her Australian </w:t>
      </w:r>
      <w:r w:rsidR="00116E13">
        <w:rPr>
          <w:rFonts w:cs="Arial"/>
        </w:rPr>
        <w:t>s</w:t>
      </w:r>
      <w:r w:rsidR="00547A59">
        <w:rPr>
          <w:rFonts w:cs="Arial"/>
        </w:rPr>
        <w:t>tate</w:t>
      </w:r>
      <w:r w:rsidR="0057000B" w:rsidRPr="00C51D8B">
        <w:rPr>
          <w:rFonts w:cs="Arial"/>
        </w:rPr>
        <w:t xml:space="preserve">. </w:t>
      </w:r>
      <w:r w:rsidR="0057000B" w:rsidRPr="00C6252D">
        <w:rPr>
          <w:rFonts w:cs="Arial"/>
        </w:rPr>
        <w:t xml:space="preserve">Both Hobart and </w:t>
      </w:r>
      <w:r w:rsidR="00A545CF" w:rsidRPr="00C6252D">
        <w:t xml:space="preserve">Glenorchy’s elderly population is </w:t>
      </w:r>
      <w:r w:rsidR="0057000B" w:rsidRPr="00C6252D">
        <w:t>predicted to grow substantially. Glenorchy has a</w:t>
      </w:r>
      <w:r w:rsidR="00A545CF" w:rsidRPr="00C6252D">
        <w:t>n older age profile than Hobart, with</w:t>
      </w:r>
      <w:r w:rsidR="0057000B" w:rsidRPr="00C6252D">
        <w:t xml:space="preserve"> </w:t>
      </w:r>
      <w:r w:rsidR="00A545CF" w:rsidRPr="00C6252D">
        <w:t>16.</w:t>
      </w:r>
      <w:r w:rsidR="00C6252D" w:rsidRPr="00C6252D">
        <w:t>8</w:t>
      </w:r>
      <w:r w:rsidR="00A545CF" w:rsidRPr="00C6252D">
        <w:t xml:space="preserve"> </w:t>
      </w:r>
      <w:r w:rsidR="0036420A">
        <w:t>per cent</w:t>
      </w:r>
      <w:r w:rsidR="00A545CF" w:rsidRPr="00C6252D">
        <w:t xml:space="preserve"> of its population aged over 65</w:t>
      </w:r>
      <w:r w:rsidR="00C6252D" w:rsidRPr="00C6252D">
        <w:t xml:space="preserve"> in 2007</w:t>
      </w:r>
      <w:r w:rsidR="00A545CF" w:rsidRPr="00C6252D">
        <w:t>. By 20</w:t>
      </w:r>
      <w:r w:rsidR="00C6252D" w:rsidRPr="00C6252D">
        <w:t>32</w:t>
      </w:r>
      <w:r w:rsidR="00A545CF" w:rsidRPr="00C6252D">
        <w:t xml:space="preserve"> </w:t>
      </w:r>
      <w:bookmarkStart w:id="25" w:name="OLE_LINK61"/>
      <w:bookmarkStart w:id="26" w:name="OLE_LINK62"/>
      <w:r w:rsidR="00C6252D">
        <w:t xml:space="preserve">this will increase to 25.6 </w:t>
      </w:r>
      <w:r w:rsidR="0036420A">
        <w:t>per cent</w:t>
      </w:r>
      <w:r w:rsidR="00C6252D" w:rsidRPr="00C6252D">
        <w:rPr>
          <w:rFonts w:cs="Arial"/>
        </w:rPr>
        <w:t xml:space="preserve"> (DCAC 2008).</w:t>
      </w:r>
      <w:bookmarkEnd w:id="25"/>
      <w:bookmarkEnd w:id="26"/>
      <w:r w:rsidR="007C55D3">
        <w:rPr>
          <w:rFonts w:cs="Arial"/>
        </w:rPr>
        <w:t xml:space="preserve"> </w:t>
      </w:r>
    </w:p>
    <w:p w:rsidR="00A545CF" w:rsidRDefault="007C55D3" w:rsidP="00546F2E">
      <w:pPr>
        <w:autoSpaceDE w:val="0"/>
        <w:autoSpaceDN w:val="0"/>
        <w:adjustRightInd w:val="0"/>
        <w:spacing w:after="120" w:line="240" w:lineRule="auto"/>
        <w:jc w:val="both"/>
        <w:rPr>
          <w:rFonts w:cs="Arial"/>
        </w:rPr>
      </w:pPr>
      <w:r>
        <w:rPr>
          <w:rFonts w:cs="Arial"/>
        </w:rPr>
        <w:t>People over 65, ha</w:t>
      </w:r>
      <w:r w:rsidR="00BB23D5">
        <w:rPr>
          <w:rFonts w:cs="Arial"/>
        </w:rPr>
        <w:t xml:space="preserve">ve a lower public transport mode </w:t>
      </w:r>
      <w:r>
        <w:rPr>
          <w:rFonts w:cs="Arial"/>
        </w:rPr>
        <w:t>share</w:t>
      </w:r>
      <w:r w:rsidR="00BB23D5">
        <w:rPr>
          <w:rFonts w:cs="Arial"/>
        </w:rPr>
        <w:t xml:space="preserve"> (2.3 </w:t>
      </w:r>
      <w:r w:rsidR="0036420A">
        <w:rPr>
          <w:rFonts w:cs="Arial"/>
        </w:rPr>
        <w:t>per cent</w:t>
      </w:r>
      <w:r w:rsidR="00BB23D5">
        <w:rPr>
          <w:rFonts w:cs="Arial"/>
        </w:rPr>
        <w:t xml:space="preserve">), compared to the Greater Hobart average at 4.0 </w:t>
      </w:r>
      <w:r w:rsidR="0036420A">
        <w:rPr>
          <w:rFonts w:cs="Arial"/>
        </w:rPr>
        <w:t>per cent</w:t>
      </w:r>
      <w:r w:rsidR="00BB23D5">
        <w:rPr>
          <w:rFonts w:cs="Arial"/>
        </w:rPr>
        <w:t xml:space="preserve">. Glenorchy has the highest use of public transport at 3.7 </w:t>
      </w:r>
      <w:r w:rsidR="0036420A">
        <w:rPr>
          <w:rFonts w:cs="Arial"/>
        </w:rPr>
        <w:t>per cent</w:t>
      </w:r>
      <w:r w:rsidR="00BB23D5">
        <w:rPr>
          <w:rFonts w:cs="Arial"/>
        </w:rPr>
        <w:t xml:space="preserve"> for people aged over 65 (Greater Hobart Household Travel Survey</w:t>
      </w:r>
      <w:r w:rsidR="00B0157C">
        <w:rPr>
          <w:rFonts w:cs="Arial"/>
        </w:rPr>
        <w:t xml:space="preserve"> 2008/09</w:t>
      </w:r>
      <w:r w:rsidR="00BB23D5">
        <w:rPr>
          <w:rFonts w:cs="Arial"/>
        </w:rPr>
        <w:t>).</w:t>
      </w:r>
    </w:p>
    <w:p w:rsidR="004E5AB3" w:rsidRDefault="004E5AB3" w:rsidP="00546F2E">
      <w:pPr>
        <w:autoSpaceDE w:val="0"/>
        <w:autoSpaceDN w:val="0"/>
        <w:adjustRightInd w:val="0"/>
        <w:spacing w:after="120" w:line="240" w:lineRule="auto"/>
        <w:jc w:val="both"/>
        <w:rPr>
          <w:rFonts w:cs="Arial"/>
        </w:rPr>
      </w:pPr>
      <w:r>
        <w:rPr>
          <w:rFonts w:cs="Arial"/>
        </w:rPr>
        <w:t xml:space="preserve">Tasmania will face significant challenges resulting from an </w:t>
      </w:r>
      <w:r w:rsidR="000E6976">
        <w:rPr>
          <w:rFonts w:cs="Arial"/>
        </w:rPr>
        <w:t>ageing</w:t>
      </w:r>
      <w:r>
        <w:rPr>
          <w:rFonts w:cs="Arial"/>
        </w:rPr>
        <w:t xml:space="preserve"> population, with fewer working age people to support an increasing number of older people. An </w:t>
      </w:r>
      <w:r w:rsidR="000E6976">
        <w:rPr>
          <w:rFonts w:cs="Arial"/>
        </w:rPr>
        <w:t>ageing</w:t>
      </w:r>
      <w:r>
        <w:rPr>
          <w:rFonts w:cs="Arial"/>
        </w:rPr>
        <w:t xml:space="preserve"> population will result in a shift in travel patterns with an increase in non-work trips outside peak travel times. </w:t>
      </w:r>
    </w:p>
    <w:p w:rsidR="004E5AB3" w:rsidRDefault="006B7627" w:rsidP="00546F2E">
      <w:pPr>
        <w:autoSpaceDE w:val="0"/>
        <w:autoSpaceDN w:val="0"/>
        <w:adjustRightInd w:val="0"/>
        <w:spacing w:after="120" w:line="240" w:lineRule="auto"/>
        <w:jc w:val="both"/>
        <w:rPr>
          <w:rFonts w:cs="Arial"/>
        </w:rPr>
      </w:pPr>
      <w:r>
        <w:rPr>
          <w:rFonts w:cs="Arial"/>
        </w:rPr>
        <w:t>The transport needs of the aged are not well understood. However, t</w:t>
      </w:r>
      <w:r w:rsidR="002B3C52">
        <w:rPr>
          <w:rFonts w:cs="Arial"/>
        </w:rPr>
        <w:t xml:space="preserve">his generation of older people are </w:t>
      </w:r>
      <w:r>
        <w:rPr>
          <w:rFonts w:cs="Arial"/>
        </w:rPr>
        <w:t xml:space="preserve">likely to be </w:t>
      </w:r>
      <w:r w:rsidR="002B3C52">
        <w:rPr>
          <w:rFonts w:cs="Arial"/>
        </w:rPr>
        <w:t>more reliant on ca</w:t>
      </w:r>
      <w:r w:rsidR="000E6976">
        <w:rPr>
          <w:rFonts w:cs="Arial"/>
        </w:rPr>
        <w:t>rs for travel. Having a driver</w:t>
      </w:r>
      <w:r w:rsidR="002B3C52">
        <w:rPr>
          <w:rFonts w:cs="Arial"/>
        </w:rPr>
        <w:t xml:space="preserve"> license is an important part of staying independent, however transport disadvantage may occur if people are no longer able to drive and their mobility is restricted.</w:t>
      </w:r>
      <w:r w:rsidR="00547A59" w:rsidRPr="00547A59">
        <w:t xml:space="preserve"> </w:t>
      </w:r>
      <w:r w:rsidR="00547A59">
        <w:t>There is likely to be a</w:t>
      </w:r>
      <w:r w:rsidR="00453113">
        <w:t xml:space="preserve"> continuing</w:t>
      </w:r>
      <w:r w:rsidR="00547A59">
        <w:t xml:space="preserve"> increase in demand for personalised transport, such as door</w:t>
      </w:r>
      <w:r w:rsidR="00453113">
        <w:t>-</w:t>
      </w:r>
      <w:r w:rsidR="00547A59">
        <w:t>to</w:t>
      </w:r>
      <w:r w:rsidR="00453113">
        <w:t>-</w:t>
      </w:r>
      <w:r w:rsidR="00547A59">
        <w:t>door community transport.</w:t>
      </w:r>
    </w:p>
    <w:p w:rsidR="00565A7E" w:rsidRPr="006C5BBF" w:rsidRDefault="006C5BBF" w:rsidP="006C5BBF">
      <w:pPr>
        <w:spacing w:after="120" w:line="240" w:lineRule="auto"/>
        <w:jc w:val="both"/>
      </w:pPr>
      <w:r>
        <w:t xml:space="preserve">Public transport cannot always accommodate the needs of older people, especially those with restricted mobility. </w:t>
      </w:r>
      <w:r w:rsidR="00546F2E" w:rsidRPr="0038302B">
        <w:rPr>
          <w:rFonts w:cs="Arial"/>
        </w:rPr>
        <w:t>Transport services must be designed to suit older users if they are to</w:t>
      </w:r>
      <w:r w:rsidR="00546F2E">
        <w:rPr>
          <w:rFonts w:cs="Arial"/>
        </w:rPr>
        <w:t xml:space="preserve"> </w:t>
      </w:r>
      <w:r w:rsidR="00546F2E" w:rsidRPr="0038302B">
        <w:rPr>
          <w:rFonts w:cs="Arial"/>
        </w:rPr>
        <w:t>serve as viable alternatives to the car.</w:t>
      </w:r>
      <w:r w:rsidR="00546F2E">
        <w:rPr>
          <w:rFonts w:cs="Arial"/>
        </w:rPr>
        <w:t xml:space="preserve"> </w:t>
      </w:r>
    </w:p>
    <w:p w:rsidR="006F0E95" w:rsidRDefault="0057000B">
      <w:pPr>
        <w:spacing w:after="120" w:line="240" w:lineRule="auto"/>
      </w:pPr>
      <w:r w:rsidRPr="00C51D8B">
        <w:rPr>
          <w:rFonts w:cs="Arial"/>
          <w:color w:val="000000"/>
        </w:rPr>
        <w:t xml:space="preserve">Changes associated with population </w:t>
      </w:r>
      <w:r w:rsidR="000E6976">
        <w:rPr>
          <w:rFonts w:cs="Arial"/>
          <w:color w:val="000000"/>
        </w:rPr>
        <w:t>ageing</w:t>
      </w:r>
      <w:r w:rsidRPr="00C51D8B">
        <w:rPr>
          <w:rFonts w:cs="Arial"/>
          <w:color w:val="000000"/>
        </w:rPr>
        <w:t xml:space="preserve"> will impact on b</w:t>
      </w:r>
      <w:r w:rsidR="00214C0D">
        <w:rPr>
          <w:rFonts w:cs="Arial"/>
          <w:color w:val="000000"/>
        </w:rPr>
        <w:t>oth housing and transport needs, including:</w:t>
      </w:r>
      <w:r w:rsidRPr="00C51D8B">
        <w:rPr>
          <w:rFonts w:cs="Arial"/>
          <w:color w:val="000000"/>
        </w:rPr>
        <w:t xml:space="preserve">  </w:t>
      </w:r>
    </w:p>
    <w:p w:rsidR="00565A7E" w:rsidRDefault="00214C0D" w:rsidP="00F53395">
      <w:pPr>
        <w:pStyle w:val="ListParagraph"/>
        <w:numPr>
          <w:ilvl w:val="0"/>
          <w:numId w:val="5"/>
        </w:numPr>
        <w:autoSpaceDE w:val="0"/>
        <w:autoSpaceDN w:val="0"/>
        <w:adjustRightInd w:val="0"/>
        <w:spacing w:after="120" w:line="240" w:lineRule="auto"/>
        <w:contextualSpacing w:val="0"/>
        <w:jc w:val="both"/>
        <w:rPr>
          <w:rFonts w:cs="Arial"/>
          <w:color w:val="000000"/>
        </w:rPr>
      </w:pPr>
      <w:r>
        <w:rPr>
          <w:rFonts w:cs="Arial"/>
          <w:color w:val="000000"/>
        </w:rPr>
        <w:t>Demand for</w:t>
      </w:r>
      <w:r w:rsidR="00A545CF" w:rsidRPr="00214C0D">
        <w:rPr>
          <w:rFonts w:cs="Arial"/>
          <w:color w:val="000000"/>
        </w:rPr>
        <w:t xml:space="preserve"> smaller houses and more aged care facilities</w:t>
      </w:r>
      <w:r>
        <w:rPr>
          <w:rFonts w:cs="Arial"/>
          <w:color w:val="000000"/>
        </w:rPr>
        <w:t xml:space="preserve"> close to services</w:t>
      </w:r>
      <w:r w:rsidR="00A545CF" w:rsidRPr="00214C0D">
        <w:rPr>
          <w:rFonts w:cs="Arial"/>
          <w:color w:val="000000"/>
        </w:rPr>
        <w:t>.</w:t>
      </w:r>
    </w:p>
    <w:p w:rsidR="00565A7E" w:rsidRPr="0038302B" w:rsidRDefault="00565A7E" w:rsidP="00F53395">
      <w:pPr>
        <w:pStyle w:val="ListParagraph"/>
        <w:numPr>
          <w:ilvl w:val="0"/>
          <w:numId w:val="5"/>
        </w:numPr>
        <w:autoSpaceDE w:val="0"/>
        <w:autoSpaceDN w:val="0"/>
        <w:adjustRightInd w:val="0"/>
        <w:spacing w:after="120" w:line="240" w:lineRule="auto"/>
        <w:contextualSpacing w:val="0"/>
        <w:jc w:val="both"/>
        <w:rPr>
          <w:rFonts w:cs="Arial"/>
          <w:color w:val="000000"/>
        </w:rPr>
      </w:pPr>
      <w:r>
        <w:t>Provision of</w:t>
      </w:r>
      <w:r w:rsidRPr="00565A7E">
        <w:t xml:space="preserve"> safer roads </w:t>
      </w:r>
      <w:r w:rsidR="0038302B">
        <w:t>for older drivers.</w:t>
      </w:r>
    </w:p>
    <w:p w:rsidR="00565A7E" w:rsidRPr="0038302B" w:rsidRDefault="0038302B" w:rsidP="00F53395">
      <w:pPr>
        <w:pStyle w:val="ListParagraph"/>
        <w:numPr>
          <w:ilvl w:val="0"/>
          <w:numId w:val="5"/>
        </w:numPr>
        <w:autoSpaceDE w:val="0"/>
        <w:autoSpaceDN w:val="0"/>
        <w:adjustRightInd w:val="0"/>
        <w:spacing w:after="120" w:line="240" w:lineRule="auto"/>
        <w:contextualSpacing w:val="0"/>
        <w:jc w:val="both"/>
        <w:rPr>
          <w:rFonts w:cs="Arial"/>
          <w:color w:val="000000"/>
        </w:rPr>
      </w:pPr>
      <w:r>
        <w:rPr>
          <w:rFonts w:cs="Arial"/>
          <w:color w:val="000000"/>
        </w:rPr>
        <w:t>Safer pedestrian environments, including catering for those with limited mobility</w:t>
      </w:r>
      <w:r w:rsidR="00453113">
        <w:rPr>
          <w:rFonts w:cs="Arial"/>
          <w:color w:val="000000"/>
        </w:rPr>
        <w:t>,</w:t>
      </w:r>
      <w:r>
        <w:rPr>
          <w:rFonts w:cs="Arial"/>
          <w:color w:val="000000"/>
        </w:rPr>
        <w:t xml:space="preserve"> or </w:t>
      </w:r>
      <w:r w:rsidR="00565A7E">
        <w:t>users of powered wheelchairs and scooters</w:t>
      </w:r>
      <w:r w:rsidR="00BC4021" w:rsidRPr="00BC4021">
        <w:t>.</w:t>
      </w:r>
    </w:p>
    <w:p w:rsidR="00565A7E" w:rsidRDefault="00A545CF" w:rsidP="00F53395">
      <w:pPr>
        <w:pStyle w:val="ListParagraph"/>
        <w:numPr>
          <w:ilvl w:val="0"/>
          <w:numId w:val="5"/>
        </w:numPr>
        <w:autoSpaceDE w:val="0"/>
        <w:autoSpaceDN w:val="0"/>
        <w:adjustRightInd w:val="0"/>
        <w:spacing w:after="120" w:line="240" w:lineRule="auto"/>
        <w:contextualSpacing w:val="0"/>
        <w:jc w:val="both"/>
        <w:rPr>
          <w:rFonts w:cs="Arial"/>
          <w:color w:val="000000"/>
        </w:rPr>
      </w:pPr>
      <w:r w:rsidRPr="00214C0D">
        <w:rPr>
          <w:rFonts w:cs="Arial"/>
          <w:color w:val="000000"/>
        </w:rPr>
        <w:t>Need for public transport to be</w:t>
      </w:r>
      <w:r w:rsidR="00565A7E">
        <w:rPr>
          <w:rFonts w:cs="Arial"/>
          <w:color w:val="000000"/>
        </w:rPr>
        <w:t>:</w:t>
      </w:r>
    </w:p>
    <w:p w:rsidR="00565A7E" w:rsidRPr="00565A7E" w:rsidRDefault="00565A7E" w:rsidP="00F53395">
      <w:pPr>
        <w:pStyle w:val="ListParagraph"/>
        <w:numPr>
          <w:ilvl w:val="1"/>
          <w:numId w:val="5"/>
        </w:numPr>
        <w:autoSpaceDE w:val="0"/>
        <w:autoSpaceDN w:val="0"/>
        <w:adjustRightInd w:val="0"/>
        <w:spacing w:after="120" w:line="240" w:lineRule="auto"/>
        <w:contextualSpacing w:val="0"/>
        <w:jc w:val="both"/>
        <w:rPr>
          <w:rFonts w:cs="Arial"/>
          <w:color w:val="000000"/>
        </w:rPr>
      </w:pPr>
      <w:r w:rsidRPr="00214C0D">
        <w:rPr>
          <w:rFonts w:cs="Arial"/>
          <w:color w:val="000000"/>
        </w:rPr>
        <w:t>Accessible</w:t>
      </w:r>
      <w:r w:rsidR="0014039D">
        <w:t xml:space="preserve"> as people’s mobility declines with increasing age</w:t>
      </w:r>
      <w:r w:rsidR="00A545CF" w:rsidRPr="00214C0D">
        <w:rPr>
          <w:rFonts w:cs="Arial"/>
          <w:color w:val="000000"/>
        </w:rPr>
        <w:t>,</w:t>
      </w:r>
      <w:r>
        <w:rPr>
          <w:rFonts w:cs="Arial"/>
          <w:color w:val="000000"/>
        </w:rPr>
        <w:t xml:space="preserve"> eg low floor buses, bus stops which cater for people with </w:t>
      </w:r>
      <w:r w:rsidR="00547A59">
        <w:rPr>
          <w:rFonts w:cs="Arial"/>
          <w:color w:val="000000"/>
        </w:rPr>
        <w:t>limited</w:t>
      </w:r>
      <w:r>
        <w:rPr>
          <w:rFonts w:cs="Arial"/>
          <w:color w:val="000000"/>
        </w:rPr>
        <w:t xml:space="preserve"> mobility and </w:t>
      </w:r>
      <w:r w:rsidRPr="00565A7E">
        <w:rPr>
          <w:color w:val="000000"/>
        </w:rPr>
        <w:t>information that make</w:t>
      </w:r>
      <w:r w:rsidR="00547A59">
        <w:rPr>
          <w:color w:val="000000"/>
        </w:rPr>
        <w:t>s</w:t>
      </w:r>
      <w:r w:rsidRPr="00565A7E">
        <w:rPr>
          <w:color w:val="000000"/>
        </w:rPr>
        <w:t xml:space="preserve"> </w:t>
      </w:r>
      <w:r w:rsidR="00547A59">
        <w:rPr>
          <w:color w:val="000000"/>
        </w:rPr>
        <w:t>public transport</w:t>
      </w:r>
      <w:r w:rsidRPr="00565A7E">
        <w:rPr>
          <w:color w:val="000000"/>
        </w:rPr>
        <w:t xml:space="preserve"> easier to use</w:t>
      </w:r>
      <w:r w:rsidR="00B0157C">
        <w:rPr>
          <w:color w:val="000000"/>
        </w:rPr>
        <w:t>.</w:t>
      </w:r>
    </w:p>
    <w:p w:rsidR="00565A7E" w:rsidRDefault="00565A7E" w:rsidP="00F53395">
      <w:pPr>
        <w:pStyle w:val="ListParagraph"/>
        <w:numPr>
          <w:ilvl w:val="1"/>
          <w:numId w:val="5"/>
        </w:numPr>
        <w:autoSpaceDE w:val="0"/>
        <w:autoSpaceDN w:val="0"/>
        <w:adjustRightInd w:val="0"/>
        <w:spacing w:after="120" w:line="240" w:lineRule="auto"/>
        <w:contextualSpacing w:val="0"/>
        <w:jc w:val="both"/>
        <w:rPr>
          <w:rFonts w:cs="Arial"/>
          <w:color w:val="000000"/>
        </w:rPr>
      </w:pPr>
      <w:r>
        <w:rPr>
          <w:rFonts w:cs="Arial"/>
          <w:color w:val="000000"/>
        </w:rPr>
        <w:t>A</w:t>
      </w:r>
      <w:r w:rsidR="00A545CF" w:rsidRPr="00565A7E">
        <w:rPr>
          <w:rFonts w:cs="Arial"/>
          <w:color w:val="000000"/>
        </w:rPr>
        <w:t xml:space="preserve">ffordable </w:t>
      </w:r>
      <w:r w:rsidR="0014039D" w:rsidRPr="00565A7E">
        <w:rPr>
          <w:rFonts w:cs="Arial"/>
          <w:color w:val="000000"/>
        </w:rPr>
        <w:t>for those on retirement pensions</w:t>
      </w:r>
      <w:r w:rsidR="00B0157C">
        <w:rPr>
          <w:rFonts w:cs="Arial"/>
          <w:color w:val="000000"/>
        </w:rPr>
        <w:t>.</w:t>
      </w:r>
    </w:p>
    <w:p w:rsidR="006F0E95" w:rsidRDefault="00565A7E">
      <w:pPr>
        <w:pStyle w:val="ListParagraph"/>
        <w:numPr>
          <w:ilvl w:val="1"/>
          <w:numId w:val="5"/>
        </w:numPr>
        <w:autoSpaceDE w:val="0"/>
        <w:autoSpaceDN w:val="0"/>
        <w:adjustRightInd w:val="0"/>
        <w:spacing w:after="120" w:line="240" w:lineRule="auto"/>
        <w:contextualSpacing w:val="0"/>
        <w:jc w:val="both"/>
        <w:rPr>
          <w:rFonts w:cs="Arial"/>
          <w:color w:val="000000"/>
        </w:rPr>
      </w:pPr>
      <w:r w:rsidRPr="00565A7E">
        <w:rPr>
          <w:rFonts w:cs="Arial"/>
          <w:color w:val="000000"/>
        </w:rPr>
        <w:t>Safe</w:t>
      </w:r>
      <w:r>
        <w:rPr>
          <w:rFonts w:cs="Arial"/>
          <w:color w:val="000000"/>
        </w:rPr>
        <w:t xml:space="preserve"> and secure.</w:t>
      </w:r>
      <w:r w:rsidR="00A545CF" w:rsidRPr="00565A7E">
        <w:rPr>
          <w:rFonts w:cs="Arial"/>
          <w:color w:val="000000"/>
        </w:rPr>
        <w:t xml:space="preserve"> </w:t>
      </w:r>
    </w:p>
    <w:p w:rsidR="00214A4C" w:rsidRDefault="00C51D8B" w:rsidP="00214A4C">
      <w:pPr>
        <w:autoSpaceDE w:val="0"/>
        <w:autoSpaceDN w:val="0"/>
        <w:adjustRightInd w:val="0"/>
        <w:spacing w:after="120" w:line="240" w:lineRule="auto"/>
        <w:jc w:val="both"/>
        <w:rPr>
          <w:rFonts w:cs="Arial"/>
        </w:rPr>
      </w:pPr>
      <w:r w:rsidRPr="00C51D8B">
        <w:rPr>
          <w:rFonts w:cs="Arial"/>
          <w:b/>
        </w:rPr>
        <w:t>The cause:</w:t>
      </w:r>
      <w:r>
        <w:rPr>
          <w:rFonts w:cs="Arial"/>
        </w:rPr>
        <w:t xml:space="preserve"> </w:t>
      </w:r>
      <w:r w:rsidR="00214C0D">
        <w:rPr>
          <w:rFonts w:cs="Arial"/>
        </w:rPr>
        <w:t>Demographic change is the key</w:t>
      </w:r>
      <w:r w:rsidR="00214A4C">
        <w:rPr>
          <w:rFonts w:cs="Arial"/>
        </w:rPr>
        <w:t xml:space="preserve"> driver of an </w:t>
      </w:r>
      <w:r w:rsidR="000E6976">
        <w:rPr>
          <w:rFonts w:cs="Arial"/>
        </w:rPr>
        <w:t>ageing</w:t>
      </w:r>
      <w:r w:rsidR="00214A4C">
        <w:rPr>
          <w:rFonts w:cs="Arial"/>
        </w:rPr>
        <w:t xml:space="preserve"> population. Population </w:t>
      </w:r>
      <w:r w:rsidR="000E6976">
        <w:rPr>
          <w:rFonts w:cs="Arial"/>
        </w:rPr>
        <w:t>ageing</w:t>
      </w:r>
      <w:r w:rsidR="00214A4C">
        <w:rPr>
          <w:rFonts w:cs="Arial"/>
        </w:rPr>
        <w:t xml:space="preserve"> in Tasmania is caused by a low birth rate, increasing life expectancy and high level of out migration </w:t>
      </w:r>
      <w:r w:rsidR="00453113">
        <w:rPr>
          <w:rFonts w:cs="Arial"/>
        </w:rPr>
        <w:t>by</w:t>
      </w:r>
      <w:r w:rsidR="00214A4C">
        <w:rPr>
          <w:rFonts w:cs="Arial"/>
        </w:rPr>
        <w:t xml:space="preserve"> younger age groups. </w:t>
      </w:r>
    </w:p>
    <w:p w:rsidR="006D2727" w:rsidRPr="0038302B" w:rsidRDefault="0038302B" w:rsidP="00547A59">
      <w:pPr>
        <w:autoSpaceDE w:val="0"/>
        <w:autoSpaceDN w:val="0"/>
        <w:adjustRightInd w:val="0"/>
        <w:spacing w:after="120" w:line="240" w:lineRule="auto"/>
        <w:jc w:val="both"/>
        <w:rPr>
          <w:color w:val="000000"/>
        </w:rPr>
      </w:pPr>
      <w:bookmarkStart w:id="27" w:name="OLE_LINK65"/>
      <w:bookmarkStart w:id="28" w:name="OLE_LINK66"/>
      <w:r>
        <w:rPr>
          <w:rFonts w:cs="Arial"/>
          <w:b/>
          <w:color w:val="000000"/>
        </w:rPr>
        <w:t>What is occurring:</w:t>
      </w:r>
      <w:r w:rsidR="00C51D8B">
        <w:rPr>
          <w:rFonts w:cs="Arial"/>
          <w:color w:val="000000"/>
        </w:rPr>
        <w:t xml:space="preserve"> </w:t>
      </w:r>
      <w:bookmarkEnd w:id="27"/>
      <w:bookmarkEnd w:id="28"/>
      <w:r>
        <w:rPr>
          <w:rFonts w:cs="Arial"/>
          <w:color w:val="000000"/>
        </w:rPr>
        <w:t>There is growing awareness that land use planning has a major role to play in allowing people</w:t>
      </w:r>
      <w:r w:rsidR="00BC4021" w:rsidRPr="00BC4021">
        <w:rPr>
          <w:color w:val="000000"/>
        </w:rPr>
        <w:t xml:space="preserve"> to age in place by </w:t>
      </w:r>
      <w:r w:rsidR="00533A30" w:rsidRPr="00C51D8B">
        <w:t xml:space="preserve">providing greater </w:t>
      </w:r>
      <w:r w:rsidR="005D3CD2" w:rsidRPr="00C51D8B">
        <w:t xml:space="preserve">housing </w:t>
      </w:r>
      <w:r w:rsidR="00533A30" w:rsidRPr="00C51D8B">
        <w:t>choice and ensuring housing and aged care facilities are located close to</w:t>
      </w:r>
      <w:r w:rsidR="00214A4C">
        <w:t xml:space="preserve"> services </w:t>
      </w:r>
      <w:r w:rsidR="00116E13">
        <w:t xml:space="preserve">and </w:t>
      </w:r>
      <w:r w:rsidR="00116E13" w:rsidRPr="00C51D8B">
        <w:t>public</w:t>
      </w:r>
      <w:r>
        <w:t xml:space="preserve"> </w:t>
      </w:r>
      <w:r w:rsidR="005D3CD2" w:rsidRPr="00C51D8B">
        <w:t>transport corridors</w:t>
      </w:r>
      <w:r w:rsidR="00214A4C">
        <w:t>.</w:t>
      </w:r>
    </w:p>
    <w:p w:rsidR="004B0C79" w:rsidRPr="0010191E" w:rsidRDefault="00546F2E" w:rsidP="0010191E">
      <w:pPr>
        <w:autoSpaceDE w:val="0"/>
        <w:autoSpaceDN w:val="0"/>
        <w:adjustRightInd w:val="0"/>
        <w:spacing w:after="120" w:line="240" w:lineRule="auto"/>
        <w:jc w:val="both"/>
      </w:pPr>
      <w:r>
        <w:rPr>
          <w:rFonts w:cs="Arial"/>
        </w:rPr>
        <w:t xml:space="preserve">The </w:t>
      </w:r>
      <w:r w:rsidR="00453113">
        <w:rPr>
          <w:rFonts w:cs="Arial"/>
        </w:rPr>
        <w:t xml:space="preserve">transport of elderly people with limited mobility </w:t>
      </w:r>
      <w:r>
        <w:rPr>
          <w:rFonts w:cs="Arial"/>
        </w:rPr>
        <w:t xml:space="preserve">(in urban areas) </w:t>
      </w:r>
      <w:r w:rsidR="00453113">
        <w:rPr>
          <w:rFonts w:cs="Arial"/>
        </w:rPr>
        <w:t xml:space="preserve">is </w:t>
      </w:r>
      <w:r>
        <w:rPr>
          <w:rFonts w:cs="Arial"/>
        </w:rPr>
        <w:t>largely cater</w:t>
      </w:r>
      <w:r w:rsidR="00453113">
        <w:rPr>
          <w:rFonts w:cs="Arial"/>
        </w:rPr>
        <w:t>ed</w:t>
      </w:r>
      <w:r>
        <w:rPr>
          <w:rFonts w:cs="Arial"/>
        </w:rPr>
        <w:t xml:space="preserve"> for</w:t>
      </w:r>
      <w:r w:rsidR="00453113">
        <w:rPr>
          <w:rFonts w:cs="Arial"/>
        </w:rPr>
        <w:t xml:space="preserve"> by the community transport sector and taxis</w:t>
      </w:r>
      <w:r>
        <w:rPr>
          <w:rFonts w:cs="Arial"/>
        </w:rPr>
        <w:t xml:space="preserve">. </w:t>
      </w:r>
      <w:r w:rsidR="00453113">
        <w:rPr>
          <w:rFonts w:cs="Arial"/>
        </w:rPr>
        <w:t xml:space="preserve"> </w:t>
      </w:r>
      <w:r w:rsidR="00547A59">
        <w:rPr>
          <w:rFonts w:cs="Arial"/>
        </w:rPr>
        <w:t xml:space="preserve">Public transport does play a role in providing access to the </w:t>
      </w:r>
      <w:r w:rsidR="0010191E">
        <w:rPr>
          <w:rFonts w:cs="Arial"/>
        </w:rPr>
        <w:t>elderly;</w:t>
      </w:r>
      <w:r w:rsidR="00547A59">
        <w:rPr>
          <w:rFonts w:cs="Arial"/>
        </w:rPr>
        <w:t xml:space="preserve"> the challenge is to ensure services are designed t</w:t>
      </w:r>
      <w:r w:rsidR="0010191E">
        <w:rPr>
          <w:rFonts w:cs="Arial"/>
        </w:rPr>
        <w:t xml:space="preserve">o suit older </w:t>
      </w:r>
      <w:r w:rsidR="00453113">
        <w:rPr>
          <w:rFonts w:cs="Arial"/>
        </w:rPr>
        <w:t>customers</w:t>
      </w:r>
      <w:r w:rsidR="0010191E">
        <w:rPr>
          <w:rFonts w:cs="Arial"/>
        </w:rPr>
        <w:t xml:space="preserve">. </w:t>
      </w:r>
      <w:r w:rsidR="00453113">
        <w:rPr>
          <w:rFonts w:cs="Arial"/>
        </w:rPr>
        <w:t xml:space="preserve"> </w:t>
      </w:r>
      <w:r>
        <w:rPr>
          <w:rFonts w:cs="Arial"/>
        </w:rPr>
        <w:t>Within</w:t>
      </w:r>
      <w:r w:rsidR="00547A59">
        <w:rPr>
          <w:rFonts w:cs="Arial"/>
        </w:rPr>
        <w:t xml:space="preserve"> the public transport system;</w:t>
      </w:r>
      <w:r>
        <w:rPr>
          <w:rFonts w:cs="Arial"/>
        </w:rPr>
        <w:t xml:space="preserve"> accessible buses are being progressively rolled</w:t>
      </w:r>
      <w:r w:rsidR="00547A59">
        <w:rPr>
          <w:rFonts w:cs="Arial"/>
        </w:rPr>
        <w:t xml:space="preserve"> out and new or upgraded bus stops are required to be compliant with the </w:t>
      </w:r>
      <w:r w:rsidR="00547A59" w:rsidRPr="00B0157C">
        <w:rPr>
          <w:rFonts w:cs="Arial"/>
        </w:rPr>
        <w:t>Disability Discrimination Act</w:t>
      </w:r>
      <w:r w:rsidR="00453113" w:rsidRPr="00B0157C">
        <w:rPr>
          <w:rFonts w:cs="Arial"/>
        </w:rPr>
        <w:t xml:space="preserve"> Transport Standards</w:t>
      </w:r>
      <w:r w:rsidR="00453113">
        <w:rPr>
          <w:rFonts w:cs="Arial"/>
        </w:rPr>
        <w:t xml:space="preserve"> (2002)</w:t>
      </w:r>
      <w:r w:rsidR="00547A59">
        <w:rPr>
          <w:rFonts w:cs="Arial"/>
        </w:rPr>
        <w:t>.</w:t>
      </w:r>
      <w:r>
        <w:rPr>
          <w:rFonts w:cs="Arial"/>
        </w:rPr>
        <w:t xml:space="preserve"> </w:t>
      </w:r>
    </w:p>
    <w:p w:rsidR="00436057" w:rsidRDefault="0032784B" w:rsidP="00E52A9A">
      <w:pPr>
        <w:pStyle w:val="Heading2"/>
        <w:rPr>
          <w:lang w:val="en-GB"/>
        </w:rPr>
      </w:pPr>
      <w:bookmarkStart w:id="29" w:name="_Toc320197776"/>
      <w:bookmarkStart w:id="30" w:name="_Toc326833288"/>
      <w:r>
        <w:rPr>
          <w:lang w:val="en-GB"/>
        </w:rPr>
        <w:lastRenderedPageBreak/>
        <w:t xml:space="preserve">Social </w:t>
      </w:r>
      <w:r w:rsidR="00B162CE">
        <w:rPr>
          <w:lang w:val="en-GB"/>
        </w:rPr>
        <w:t>ex</w:t>
      </w:r>
      <w:r>
        <w:rPr>
          <w:lang w:val="en-GB"/>
        </w:rPr>
        <w:t>clusion</w:t>
      </w:r>
      <w:bookmarkEnd w:id="29"/>
      <w:bookmarkEnd w:id="30"/>
    </w:p>
    <w:p w:rsidR="0019086C" w:rsidRDefault="00B162CE" w:rsidP="0019086C">
      <w:pPr>
        <w:autoSpaceDE w:val="0"/>
        <w:autoSpaceDN w:val="0"/>
        <w:adjustRightInd w:val="0"/>
        <w:spacing w:after="120" w:line="240" w:lineRule="auto"/>
        <w:jc w:val="both"/>
        <w:rPr>
          <w:rFonts w:ascii="ArialMT" w:hAnsi="ArialMT" w:cs="ArialMT"/>
        </w:rPr>
      </w:pPr>
      <w:r w:rsidRPr="00B162CE">
        <w:rPr>
          <w:b/>
        </w:rPr>
        <w:t xml:space="preserve">The problem: </w:t>
      </w:r>
      <w:bookmarkStart w:id="31" w:name="OLE_LINK9"/>
      <w:bookmarkStart w:id="32" w:name="OLE_LINK10"/>
      <w:r w:rsidR="00B310A1">
        <w:t xml:space="preserve">Lack of access to transport can </w:t>
      </w:r>
      <w:r w:rsidR="00453113">
        <w:t xml:space="preserve">lead to social exclusion, which can </w:t>
      </w:r>
      <w:r w:rsidR="00B310A1" w:rsidRPr="000A4A51">
        <w:rPr>
          <w:rFonts w:cs="Arial"/>
        </w:rPr>
        <w:t>affect people’s sense of wellbeing and quality of</w:t>
      </w:r>
      <w:r w:rsidR="00B310A1">
        <w:rPr>
          <w:rFonts w:cs="Arial"/>
        </w:rPr>
        <w:t xml:space="preserve"> life. </w:t>
      </w:r>
      <w:bookmarkEnd w:id="31"/>
      <w:bookmarkEnd w:id="32"/>
      <w:r w:rsidR="00933A65" w:rsidRPr="00225DCF">
        <w:rPr>
          <w:rFonts w:cs="Arial"/>
        </w:rPr>
        <w:t>Social exclusion is where</w:t>
      </w:r>
      <w:r w:rsidR="00933A65" w:rsidRPr="00225DCF">
        <w:rPr>
          <w:rFonts w:ascii="Arial-BoldMT" w:hAnsi="Arial-BoldMT" w:cs="Arial-BoldMT"/>
          <w:b/>
          <w:bCs/>
        </w:rPr>
        <w:t xml:space="preserve"> </w:t>
      </w:r>
      <w:r w:rsidR="00933A65" w:rsidRPr="00225DCF">
        <w:rPr>
          <w:rFonts w:ascii="ArialMT" w:hAnsi="ArialMT" w:cs="ArialMT"/>
        </w:rPr>
        <w:t>people</w:t>
      </w:r>
      <w:r w:rsidR="00225DCF" w:rsidRPr="00225DCF">
        <w:rPr>
          <w:rFonts w:ascii="ArialMT" w:hAnsi="ArialMT" w:cs="ArialMT"/>
        </w:rPr>
        <w:t xml:space="preserve"> have limited</w:t>
      </w:r>
      <w:r w:rsidR="00933A65" w:rsidRPr="00225DCF">
        <w:rPr>
          <w:rFonts w:ascii="ArialMT" w:hAnsi="ArialMT" w:cs="ArialMT"/>
        </w:rPr>
        <w:t xml:space="preserve"> resources, opportunities and</w:t>
      </w:r>
      <w:r w:rsidR="00225DCF" w:rsidRPr="00225DCF">
        <w:rPr>
          <w:rFonts w:ascii="ArialMT" w:hAnsi="ArialMT" w:cs="ArialMT"/>
        </w:rPr>
        <w:t xml:space="preserve"> </w:t>
      </w:r>
      <w:r w:rsidR="00933A65" w:rsidRPr="00225DCF">
        <w:rPr>
          <w:rFonts w:ascii="ArialMT" w:hAnsi="ArialMT" w:cs="ArialMT"/>
        </w:rPr>
        <w:t>capabilities to participate in all aspects of life, so that they can meet their</w:t>
      </w:r>
      <w:r w:rsidR="00225DCF">
        <w:rPr>
          <w:rFonts w:ascii="ArialMT" w:hAnsi="ArialMT" w:cs="ArialMT"/>
        </w:rPr>
        <w:t xml:space="preserve"> </w:t>
      </w:r>
      <w:r w:rsidR="00933A65" w:rsidRPr="00225DCF">
        <w:rPr>
          <w:rFonts w:ascii="ArialMT" w:hAnsi="ArialMT" w:cs="ArialMT"/>
        </w:rPr>
        <w:t>basic needs.</w:t>
      </w:r>
      <w:r w:rsidR="0019086C">
        <w:rPr>
          <w:rFonts w:ascii="ArialMT" w:hAnsi="ArialMT" w:cs="ArialMT"/>
        </w:rPr>
        <w:t xml:space="preserve"> Transport plays an importa</w:t>
      </w:r>
      <w:r w:rsidR="00B0157C">
        <w:rPr>
          <w:rFonts w:ascii="ArialMT" w:hAnsi="ArialMT" w:cs="ArialMT"/>
        </w:rPr>
        <w:t>nt role in making people feel</w:t>
      </w:r>
      <w:r w:rsidR="0019086C">
        <w:rPr>
          <w:rFonts w:ascii="ArialMT" w:hAnsi="ArialMT" w:cs="ArialMT"/>
        </w:rPr>
        <w:t xml:space="preserve"> connected with others and the community at large.</w:t>
      </w:r>
    </w:p>
    <w:p w:rsidR="0019086C" w:rsidRDefault="00B310A1" w:rsidP="0019086C">
      <w:pPr>
        <w:autoSpaceDE w:val="0"/>
        <w:autoSpaceDN w:val="0"/>
        <w:adjustRightInd w:val="0"/>
        <w:spacing w:after="120" w:line="240" w:lineRule="auto"/>
        <w:jc w:val="both"/>
        <w:rPr>
          <w:rFonts w:cs="Arial"/>
          <w:lang w:val="en-GB"/>
        </w:rPr>
      </w:pPr>
      <w:r w:rsidRPr="0019086C">
        <w:rPr>
          <w:rFonts w:cs="Arial"/>
        </w:rPr>
        <w:t xml:space="preserve">Along the Transit Corridor there are pockets of </w:t>
      </w:r>
      <w:r w:rsidR="003465CF" w:rsidRPr="0019086C">
        <w:rPr>
          <w:rFonts w:cs="Arial"/>
        </w:rPr>
        <w:t xml:space="preserve">high </w:t>
      </w:r>
      <w:r w:rsidRPr="0019086C">
        <w:rPr>
          <w:rFonts w:cs="Arial"/>
        </w:rPr>
        <w:t>disadvantage</w:t>
      </w:r>
      <w:r w:rsidR="003465CF" w:rsidRPr="0019086C">
        <w:rPr>
          <w:rFonts w:cs="Arial"/>
        </w:rPr>
        <w:t xml:space="preserve">, particularly around Glenorchy, Moonah </w:t>
      </w:r>
      <w:r w:rsidR="00C750BF" w:rsidRPr="0019086C">
        <w:rPr>
          <w:rFonts w:cs="Arial"/>
        </w:rPr>
        <w:t>and small areas of North Hobart</w:t>
      </w:r>
      <w:r w:rsidR="005C45AA" w:rsidRPr="0019086C">
        <w:rPr>
          <w:rFonts w:cs="Arial"/>
          <w:lang w:val="en-GB"/>
        </w:rPr>
        <w:t xml:space="preserve">. </w:t>
      </w:r>
      <w:r w:rsidR="00116E13">
        <w:rPr>
          <w:rFonts w:cs="Arial"/>
          <w:lang w:val="en-GB"/>
        </w:rPr>
        <w:t>Transport d</w:t>
      </w:r>
      <w:r w:rsidR="0019086C">
        <w:rPr>
          <w:rFonts w:cs="Arial"/>
          <w:lang w:val="en-GB"/>
        </w:rPr>
        <w:t xml:space="preserve">isadvantage </w:t>
      </w:r>
      <w:r w:rsidR="00453113">
        <w:rPr>
          <w:rFonts w:cs="Arial"/>
          <w:lang w:val="en-GB"/>
        </w:rPr>
        <w:t xml:space="preserve">may be experienced by people that have at least one of </w:t>
      </w:r>
      <w:r w:rsidR="0019086C">
        <w:rPr>
          <w:rFonts w:cs="Arial"/>
          <w:lang w:val="en-GB"/>
        </w:rPr>
        <w:t>the following characteristics</w:t>
      </w:r>
      <w:r w:rsidR="008420DB">
        <w:rPr>
          <w:rFonts w:cs="Arial"/>
          <w:lang w:val="en-GB"/>
        </w:rPr>
        <w:t xml:space="preserve"> (Based on </w:t>
      </w:r>
      <w:r w:rsidR="00457A73">
        <w:rPr>
          <w:sz w:val="23"/>
          <w:szCs w:val="23"/>
        </w:rPr>
        <w:t xml:space="preserve">Booz and Company </w:t>
      </w:r>
      <w:r w:rsidR="00457A73" w:rsidRPr="002F283F">
        <w:rPr>
          <w:sz w:val="23"/>
          <w:szCs w:val="23"/>
        </w:rPr>
        <w:t>2008)</w:t>
      </w:r>
      <w:r w:rsidR="0019086C">
        <w:rPr>
          <w:rFonts w:cs="Arial"/>
          <w:lang w:val="en-GB"/>
        </w:rPr>
        <w:t>:</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Adults who do not have access to a car.</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People aged over 60 years.</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People on a disability pension.</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Adults on a low income.</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Adults not in the labour force.</w:t>
      </w:r>
    </w:p>
    <w:p w:rsidR="0019086C"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Young people aged below 17 years.</w:t>
      </w:r>
    </w:p>
    <w:p w:rsidR="00B162CE" w:rsidRPr="0019086C" w:rsidRDefault="0019086C" w:rsidP="00F53395">
      <w:pPr>
        <w:pStyle w:val="ListParagraph"/>
        <w:numPr>
          <w:ilvl w:val="0"/>
          <w:numId w:val="9"/>
        </w:numPr>
        <w:autoSpaceDE w:val="0"/>
        <w:autoSpaceDN w:val="0"/>
        <w:adjustRightInd w:val="0"/>
        <w:spacing w:after="120" w:line="240" w:lineRule="auto"/>
        <w:ind w:left="714" w:hanging="357"/>
        <w:contextualSpacing w:val="0"/>
        <w:jc w:val="both"/>
        <w:rPr>
          <w:rFonts w:cs="Arial"/>
        </w:rPr>
      </w:pPr>
      <w:r w:rsidRPr="0019086C">
        <w:rPr>
          <w:rFonts w:cs="Arial"/>
        </w:rPr>
        <w:t>People enrolled in an educational institution.</w:t>
      </w:r>
    </w:p>
    <w:p w:rsidR="00C750BF" w:rsidRDefault="00B162CE" w:rsidP="007D2463">
      <w:pPr>
        <w:autoSpaceDE w:val="0"/>
        <w:autoSpaceDN w:val="0"/>
        <w:adjustRightInd w:val="0"/>
        <w:spacing w:after="120" w:line="240" w:lineRule="auto"/>
        <w:jc w:val="both"/>
      </w:pPr>
      <w:r w:rsidRPr="00C51D8B">
        <w:rPr>
          <w:rFonts w:cs="Arial"/>
          <w:b/>
        </w:rPr>
        <w:t>The cause:</w:t>
      </w:r>
      <w:r>
        <w:rPr>
          <w:rFonts w:cs="Arial"/>
        </w:rPr>
        <w:t xml:space="preserve"> </w:t>
      </w:r>
      <w:r w:rsidR="00C750BF">
        <w:rPr>
          <w:rFonts w:cs="Arial"/>
        </w:rPr>
        <w:t xml:space="preserve">The causes of social exclusion are complex and </w:t>
      </w:r>
      <w:r w:rsidR="00453113">
        <w:rPr>
          <w:rFonts w:cs="Arial"/>
        </w:rPr>
        <w:t>arise through</w:t>
      </w:r>
      <w:r w:rsidR="00C750BF">
        <w:rPr>
          <w:rFonts w:cs="Arial"/>
        </w:rPr>
        <w:t xml:space="preserve"> </w:t>
      </w:r>
      <w:r w:rsidR="00C750BF">
        <w:t xml:space="preserve">personal factors (health or homelessness), access factors </w:t>
      </w:r>
      <w:r w:rsidR="00BC2810">
        <w:t>(</w:t>
      </w:r>
      <w:r w:rsidR="00C750BF">
        <w:t>including transport</w:t>
      </w:r>
      <w:r w:rsidR="00BC2810">
        <w:t>)</w:t>
      </w:r>
      <w:r w:rsidR="00C750BF">
        <w:t xml:space="preserve"> and structural factors </w:t>
      </w:r>
      <w:r w:rsidR="00BC2810">
        <w:t>(</w:t>
      </w:r>
      <w:r w:rsidR="00C750BF">
        <w:t>including intergenerational poverty and locational disadvantage</w:t>
      </w:r>
      <w:r w:rsidR="00BC2810">
        <w:t>)</w:t>
      </w:r>
      <w:r w:rsidR="00C750BF">
        <w:t xml:space="preserve">. </w:t>
      </w:r>
    </w:p>
    <w:p w:rsidR="00B162CE" w:rsidRDefault="00C750BF" w:rsidP="007D2463">
      <w:pPr>
        <w:autoSpaceDE w:val="0"/>
        <w:autoSpaceDN w:val="0"/>
        <w:adjustRightInd w:val="0"/>
        <w:spacing w:after="120" w:line="240" w:lineRule="auto"/>
        <w:jc w:val="both"/>
        <w:rPr>
          <w:rFonts w:cs="Arial"/>
          <w:lang w:val="en-GB"/>
        </w:rPr>
      </w:pPr>
      <w:r>
        <w:t xml:space="preserve">Those groups most at risk include children in low income households, older </w:t>
      </w:r>
      <w:r w:rsidR="00116E13">
        <w:t>people</w:t>
      </w:r>
      <w:r>
        <w:t xml:space="preserve"> living alone, people with a mental illness or disability, and certain cultural and ethic groups.</w:t>
      </w:r>
    </w:p>
    <w:p w:rsidR="00C91098" w:rsidRDefault="0019086C" w:rsidP="007D2463">
      <w:pPr>
        <w:autoSpaceDE w:val="0"/>
        <w:autoSpaceDN w:val="0"/>
        <w:adjustRightInd w:val="0"/>
        <w:spacing w:after="120" w:line="240" w:lineRule="auto"/>
        <w:jc w:val="both"/>
        <w:rPr>
          <w:rFonts w:cs="Arial"/>
          <w:lang w:val="en-GB"/>
        </w:rPr>
      </w:pPr>
      <w:r>
        <w:rPr>
          <w:rFonts w:cs="Arial"/>
          <w:b/>
          <w:color w:val="000000"/>
        </w:rPr>
        <w:t xml:space="preserve">What is </w:t>
      </w:r>
      <w:r w:rsidR="00CF0EE9">
        <w:rPr>
          <w:rFonts w:cs="Arial"/>
          <w:b/>
          <w:color w:val="000000"/>
        </w:rPr>
        <w:t>occurring</w:t>
      </w:r>
      <w:r w:rsidR="00B162CE" w:rsidRPr="00C51D8B">
        <w:rPr>
          <w:rFonts w:cs="Arial"/>
          <w:b/>
          <w:color w:val="000000"/>
        </w:rPr>
        <w:t>:</w:t>
      </w:r>
      <w:r w:rsidR="00B162CE">
        <w:rPr>
          <w:rFonts w:cs="Arial"/>
          <w:b/>
          <w:color w:val="000000"/>
        </w:rPr>
        <w:t xml:space="preserve"> </w:t>
      </w:r>
      <w:r w:rsidR="00C91098">
        <w:rPr>
          <w:rFonts w:cs="Arial"/>
          <w:lang w:val="en-GB"/>
        </w:rPr>
        <w:t xml:space="preserve">The </w:t>
      </w:r>
      <w:r w:rsidR="00C91098" w:rsidRPr="00CF0EE9">
        <w:rPr>
          <w:rFonts w:cs="Arial"/>
          <w:i/>
          <w:lang w:val="en-GB"/>
        </w:rPr>
        <w:t>Southern Regional Land Use Strategy</w:t>
      </w:r>
      <w:r w:rsidR="00C91098">
        <w:rPr>
          <w:rFonts w:cs="Arial"/>
          <w:lang w:val="en-GB"/>
        </w:rPr>
        <w:t xml:space="preserve"> will pr</w:t>
      </w:r>
      <w:r w:rsidR="00116E13">
        <w:rPr>
          <w:rFonts w:cs="Arial"/>
          <w:lang w:val="en-GB"/>
        </w:rPr>
        <w:t>ovide more infill opportunities</w:t>
      </w:r>
      <w:r w:rsidR="00C91098">
        <w:rPr>
          <w:rFonts w:cs="Arial"/>
          <w:lang w:val="en-GB"/>
        </w:rPr>
        <w:t xml:space="preserve"> in areas well serviced with public transport and close to shops and social services. If these infill areas provide affordable housing options, this will also benefit those who are </w:t>
      </w:r>
      <w:r w:rsidR="00453113">
        <w:rPr>
          <w:rFonts w:cs="Arial"/>
          <w:lang w:val="en-GB"/>
        </w:rPr>
        <w:t xml:space="preserve">financially </w:t>
      </w:r>
      <w:r w:rsidR="00C91098">
        <w:rPr>
          <w:rFonts w:cs="Arial"/>
          <w:lang w:val="en-GB"/>
        </w:rPr>
        <w:t>disadvantaged.</w:t>
      </w:r>
    </w:p>
    <w:p w:rsidR="00B162CE" w:rsidRPr="00107BD8" w:rsidRDefault="00C91098" w:rsidP="007D2463">
      <w:pPr>
        <w:autoSpaceDE w:val="0"/>
        <w:autoSpaceDN w:val="0"/>
        <w:adjustRightInd w:val="0"/>
        <w:spacing w:after="120" w:line="240" w:lineRule="auto"/>
        <w:jc w:val="both"/>
        <w:rPr>
          <w:rFonts w:cs="Arial"/>
          <w:lang w:val="en-GB"/>
        </w:rPr>
      </w:pPr>
      <w:r>
        <w:rPr>
          <w:rFonts w:cs="Arial"/>
          <w:lang w:val="en-GB"/>
        </w:rPr>
        <w:t>P</w:t>
      </w:r>
      <w:r w:rsidR="00B162CE">
        <w:rPr>
          <w:rFonts w:cs="Arial"/>
          <w:lang w:val="en-GB"/>
        </w:rPr>
        <w:t xml:space="preserve">ublic transport </w:t>
      </w:r>
      <w:r>
        <w:rPr>
          <w:rFonts w:cs="Arial"/>
          <w:lang w:val="en-GB"/>
        </w:rPr>
        <w:t>play</w:t>
      </w:r>
      <w:r w:rsidR="00116E13">
        <w:rPr>
          <w:rFonts w:cs="Arial"/>
          <w:lang w:val="en-GB"/>
        </w:rPr>
        <w:t>s</w:t>
      </w:r>
      <w:r>
        <w:rPr>
          <w:rFonts w:cs="Arial"/>
          <w:lang w:val="en-GB"/>
        </w:rPr>
        <w:t xml:space="preserve"> a vital role in serving the transport disadvantaged. The challenge is to improve the </w:t>
      </w:r>
      <w:r w:rsidR="00CF0EE9">
        <w:rPr>
          <w:rFonts w:cs="Arial"/>
          <w:lang w:val="en-GB"/>
        </w:rPr>
        <w:t xml:space="preserve">system </w:t>
      </w:r>
      <w:r w:rsidR="0029482E">
        <w:rPr>
          <w:rFonts w:cs="Arial"/>
          <w:lang w:val="en-GB"/>
        </w:rPr>
        <w:t xml:space="preserve">to make it attractive to all potential users, as well as better meeting the needs of those that are </w:t>
      </w:r>
      <w:r w:rsidR="00453113">
        <w:rPr>
          <w:rFonts w:cs="Arial"/>
          <w:lang w:val="en-GB"/>
        </w:rPr>
        <w:t xml:space="preserve">experiencing transport </w:t>
      </w:r>
      <w:r w:rsidR="0029482E">
        <w:rPr>
          <w:rFonts w:cs="Arial"/>
          <w:lang w:val="en-GB"/>
        </w:rPr>
        <w:t>disadvantage.</w:t>
      </w:r>
      <w:r w:rsidR="00107BD8">
        <w:rPr>
          <w:rFonts w:cs="Arial"/>
          <w:lang w:val="en-GB"/>
        </w:rPr>
        <w:t xml:space="preserve"> </w:t>
      </w:r>
    </w:p>
    <w:p w:rsidR="00366557" w:rsidRPr="005509F3" w:rsidRDefault="00B60BB3" w:rsidP="00E52A9A">
      <w:pPr>
        <w:pStyle w:val="Heading2"/>
        <w:rPr>
          <w:lang w:val="en-GB"/>
        </w:rPr>
      </w:pPr>
      <w:bookmarkStart w:id="33" w:name="_Toc320197777"/>
      <w:bookmarkStart w:id="34" w:name="_Toc326833289"/>
      <w:r>
        <w:rPr>
          <w:lang w:val="en-GB"/>
        </w:rPr>
        <w:t>Low levels of p</w:t>
      </w:r>
      <w:r w:rsidR="00366557" w:rsidRPr="005509F3">
        <w:rPr>
          <w:lang w:val="en-GB"/>
        </w:rPr>
        <w:t>hysical activity</w:t>
      </w:r>
      <w:bookmarkEnd w:id="33"/>
      <w:bookmarkEnd w:id="34"/>
      <w:r w:rsidR="00366557" w:rsidRPr="005509F3">
        <w:rPr>
          <w:lang w:val="en-GB"/>
        </w:rPr>
        <w:t xml:space="preserve"> </w:t>
      </w:r>
    </w:p>
    <w:p w:rsidR="009575DC" w:rsidRPr="009575DC" w:rsidRDefault="005509F3" w:rsidP="009575DC">
      <w:pPr>
        <w:autoSpaceDE w:val="0"/>
        <w:autoSpaceDN w:val="0"/>
        <w:adjustRightInd w:val="0"/>
        <w:spacing w:after="120" w:line="240" w:lineRule="auto"/>
        <w:jc w:val="both"/>
        <w:rPr>
          <w:color w:val="000000"/>
        </w:rPr>
      </w:pPr>
      <w:r w:rsidRPr="005509F3">
        <w:rPr>
          <w:rFonts w:cs="Arial"/>
          <w:b/>
          <w:color w:val="000000"/>
        </w:rPr>
        <w:t>The problem:</w:t>
      </w:r>
      <w:r>
        <w:rPr>
          <w:rFonts w:cs="Arial"/>
          <w:color w:val="000000"/>
        </w:rPr>
        <w:t xml:space="preserve"> </w:t>
      </w:r>
      <w:r w:rsidR="001D2393" w:rsidRPr="009575DC">
        <w:rPr>
          <w:rFonts w:cs="Arial"/>
          <w:color w:val="000000"/>
        </w:rPr>
        <w:t xml:space="preserve">Currently, 69 </w:t>
      </w:r>
      <w:r w:rsidR="0036420A">
        <w:rPr>
          <w:rFonts w:cs="Arial"/>
          <w:color w:val="000000"/>
        </w:rPr>
        <w:t>per cent</w:t>
      </w:r>
      <w:r w:rsidR="001D2393" w:rsidRPr="009575DC">
        <w:rPr>
          <w:rFonts w:cs="Arial"/>
          <w:color w:val="000000"/>
        </w:rPr>
        <w:t xml:space="preserve"> of Tasmanians are not sufficiently active (Health Indicators Tasmania 2008) and when compared with the national average, Tasmanians are more likely to be overweight (DHHS, 2011). </w:t>
      </w:r>
    </w:p>
    <w:p w:rsidR="00F30C47" w:rsidRDefault="009575DC" w:rsidP="009575DC">
      <w:pPr>
        <w:autoSpaceDE w:val="0"/>
        <w:autoSpaceDN w:val="0"/>
        <w:adjustRightInd w:val="0"/>
        <w:spacing w:after="120" w:line="240" w:lineRule="auto"/>
        <w:jc w:val="both"/>
        <w:rPr>
          <w:rFonts w:ascii="GillSansMT" w:hAnsi="GillSansMT" w:cs="GillSansMT"/>
        </w:rPr>
      </w:pPr>
      <w:r>
        <w:rPr>
          <w:rFonts w:ascii="GillSansMT" w:hAnsi="GillSansMT" w:cs="GillSansMT"/>
        </w:rPr>
        <w:t>Undertaking s</w:t>
      </w:r>
      <w:r w:rsidR="00F30C47">
        <w:rPr>
          <w:rFonts w:ascii="GillSansMT" w:hAnsi="GillSansMT" w:cs="GillSansMT"/>
        </w:rPr>
        <w:t xml:space="preserve">ufficient </w:t>
      </w:r>
      <w:r>
        <w:rPr>
          <w:rFonts w:ascii="GillSansMT" w:hAnsi="GillSansMT" w:cs="GillSansMT"/>
        </w:rPr>
        <w:t xml:space="preserve">levels of </w:t>
      </w:r>
      <w:r w:rsidR="00F30C47">
        <w:rPr>
          <w:rFonts w:ascii="GillSansMT" w:hAnsi="GillSansMT" w:cs="GillSansMT"/>
        </w:rPr>
        <w:t>physical activity is import</w:t>
      </w:r>
      <w:r>
        <w:rPr>
          <w:rFonts w:ascii="GillSansMT" w:hAnsi="GillSansMT" w:cs="GillSansMT"/>
        </w:rPr>
        <w:t xml:space="preserve">ant for maintaining good health and helps prevent </w:t>
      </w:r>
      <w:r w:rsidR="00453113">
        <w:rPr>
          <w:rFonts w:ascii="GillSansMT" w:hAnsi="GillSansMT" w:cs="GillSansMT"/>
        </w:rPr>
        <w:t xml:space="preserve">ailments </w:t>
      </w:r>
      <w:r w:rsidR="00F30C47">
        <w:rPr>
          <w:rFonts w:ascii="GillSansMT" w:hAnsi="GillSansMT" w:cs="GillSansMT"/>
        </w:rPr>
        <w:t>including cardiovascular disease, mental health</w:t>
      </w:r>
      <w:r>
        <w:rPr>
          <w:rFonts w:ascii="GillSansMT" w:hAnsi="GillSansMT" w:cs="GillSansMT"/>
        </w:rPr>
        <w:t xml:space="preserve"> </w:t>
      </w:r>
      <w:r w:rsidR="00F30C47">
        <w:rPr>
          <w:rFonts w:ascii="GillSansMT" w:hAnsi="GillSansMT" w:cs="GillSansMT"/>
        </w:rPr>
        <w:t xml:space="preserve">problems, </w:t>
      </w:r>
      <w:r w:rsidR="00453113">
        <w:rPr>
          <w:rFonts w:ascii="GillSansMT" w:hAnsi="GillSansMT" w:cs="GillSansMT"/>
        </w:rPr>
        <w:t xml:space="preserve">Type Two </w:t>
      </w:r>
      <w:r w:rsidR="00F30C47">
        <w:rPr>
          <w:rFonts w:ascii="GillSansMT" w:hAnsi="GillSansMT" w:cs="GillSansMT"/>
        </w:rPr>
        <w:t>diabetes and some cancers.</w:t>
      </w:r>
      <w:r>
        <w:rPr>
          <w:rFonts w:ascii="GillSansMT" w:hAnsi="GillSansMT" w:cs="GillSansMT"/>
        </w:rPr>
        <w:t xml:space="preserve"> </w:t>
      </w:r>
      <w:r w:rsidR="00F30C47">
        <w:rPr>
          <w:rFonts w:ascii="GillSansMT" w:hAnsi="GillSansMT" w:cs="GillSansMT"/>
        </w:rPr>
        <w:t>Being</w:t>
      </w:r>
      <w:r>
        <w:rPr>
          <w:rFonts w:ascii="GillSansMT" w:hAnsi="GillSansMT" w:cs="GillSansMT"/>
        </w:rPr>
        <w:t xml:space="preserve"> </w:t>
      </w:r>
      <w:r w:rsidR="00F30C47">
        <w:rPr>
          <w:rFonts w:ascii="GillSansMT" w:hAnsi="GillSansMT" w:cs="GillSansMT"/>
        </w:rPr>
        <w:t xml:space="preserve">overweight or obese </w:t>
      </w:r>
      <w:r w:rsidR="00116E13">
        <w:rPr>
          <w:rFonts w:ascii="GillSansMT" w:hAnsi="GillSansMT" w:cs="GillSansMT"/>
        </w:rPr>
        <w:t xml:space="preserve">also </w:t>
      </w:r>
      <w:r w:rsidR="00F30C47">
        <w:rPr>
          <w:rFonts w:ascii="GillSansMT" w:hAnsi="GillSansMT" w:cs="GillSansMT"/>
        </w:rPr>
        <w:t>increases the risk of a wide range of health problems</w:t>
      </w:r>
      <w:r>
        <w:rPr>
          <w:rFonts w:ascii="GillSansMT" w:hAnsi="GillSansMT" w:cs="GillSansMT"/>
        </w:rPr>
        <w:t>.</w:t>
      </w:r>
    </w:p>
    <w:p w:rsidR="002425A3" w:rsidRDefault="005509F3" w:rsidP="00407858">
      <w:pPr>
        <w:autoSpaceDE w:val="0"/>
        <w:autoSpaceDN w:val="0"/>
        <w:adjustRightInd w:val="0"/>
        <w:spacing w:after="120" w:line="240" w:lineRule="auto"/>
        <w:jc w:val="both"/>
        <w:rPr>
          <w:rFonts w:cs="Arial"/>
          <w:color w:val="272525"/>
        </w:rPr>
      </w:pPr>
      <w:r w:rsidRPr="008D4993">
        <w:rPr>
          <w:rFonts w:cs="Arial"/>
          <w:b/>
        </w:rPr>
        <w:t>The cause:</w:t>
      </w:r>
      <w:r w:rsidRPr="008D4993">
        <w:rPr>
          <w:rFonts w:cs="Arial"/>
        </w:rPr>
        <w:t xml:space="preserve"> </w:t>
      </w:r>
      <w:r w:rsidR="00116FFD" w:rsidRPr="008D4993">
        <w:rPr>
          <w:rFonts w:cs="Arial"/>
          <w:color w:val="272525"/>
        </w:rPr>
        <w:t>The increase in effort-saving technology in modern society provides us with fewer opportunities to be physically active in our day to day activities.</w:t>
      </w:r>
      <w:r w:rsidR="00116FFD">
        <w:rPr>
          <w:rFonts w:cs="Arial"/>
          <w:color w:val="272525"/>
        </w:rPr>
        <w:t xml:space="preserve"> </w:t>
      </w:r>
      <w:r w:rsidR="008D4993">
        <w:rPr>
          <w:rFonts w:cs="Arial"/>
          <w:color w:val="272525"/>
        </w:rPr>
        <w:t xml:space="preserve">High levels of car dependency </w:t>
      </w:r>
      <w:r w:rsidR="006B7627">
        <w:rPr>
          <w:rFonts w:cs="Arial"/>
          <w:color w:val="272525"/>
        </w:rPr>
        <w:t>contribute to</w:t>
      </w:r>
      <w:r w:rsidR="008D4993">
        <w:rPr>
          <w:rFonts w:cs="Arial"/>
          <w:color w:val="272525"/>
        </w:rPr>
        <w:t xml:space="preserve"> low</w:t>
      </w:r>
      <w:r w:rsidR="006B7627">
        <w:rPr>
          <w:rFonts w:cs="Arial"/>
          <w:color w:val="272525"/>
        </w:rPr>
        <w:t>er</w:t>
      </w:r>
      <w:r w:rsidR="008D4993">
        <w:rPr>
          <w:rFonts w:cs="Arial"/>
          <w:color w:val="272525"/>
        </w:rPr>
        <w:t xml:space="preserve"> levels of physical</w:t>
      </w:r>
      <w:r w:rsidR="00E52A69">
        <w:rPr>
          <w:rFonts w:cs="Arial"/>
          <w:color w:val="272525"/>
        </w:rPr>
        <w:t xml:space="preserve"> activity, as there are fewer forms of incidental exercise</w:t>
      </w:r>
      <w:r w:rsidR="00453113">
        <w:rPr>
          <w:rFonts w:cs="Arial"/>
          <w:color w:val="272525"/>
        </w:rPr>
        <w:t>,</w:t>
      </w:r>
      <w:r w:rsidR="00E52A69">
        <w:rPr>
          <w:rFonts w:cs="Arial"/>
          <w:color w:val="272525"/>
        </w:rPr>
        <w:t xml:space="preserve"> such as walking or cycling to work</w:t>
      </w:r>
      <w:r w:rsidR="005E6C98">
        <w:rPr>
          <w:rFonts w:cs="Arial"/>
          <w:color w:val="272525"/>
        </w:rPr>
        <w:t>. Climatic factors can also play a role in affecting people’s level of activity.</w:t>
      </w:r>
    </w:p>
    <w:p w:rsidR="00E52A69" w:rsidRPr="00406ECE" w:rsidRDefault="0063735A" w:rsidP="0063735A">
      <w:pPr>
        <w:autoSpaceDE w:val="0"/>
        <w:autoSpaceDN w:val="0"/>
        <w:adjustRightInd w:val="0"/>
        <w:spacing w:after="120" w:line="240" w:lineRule="auto"/>
        <w:jc w:val="both"/>
        <w:rPr>
          <w:rFonts w:cs="Arial"/>
        </w:rPr>
      </w:pPr>
      <w:r>
        <w:rPr>
          <w:rFonts w:cs="Arial"/>
          <w:b/>
        </w:rPr>
        <w:t>What is occurring</w:t>
      </w:r>
      <w:r w:rsidR="005509F3" w:rsidRPr="005509F3">
        <w:rPr>
          <w:rFonts w:cs="Arial"/>
          <w:b/>
        </w:rPr>
        <w:t>:</w:t>
      </w:r>
      <w:r w:rsidR="005509F3" w:rsidRPr="005509F3">
        <w:rPr>
          <w:rFonts w:cs="Arial"/>
          <w:color w:val="000000"/>
        </w:rPr>
        <w:t xml:space="preserve"> </w:t>
      </w:r>
      <w:r w:rsidR="00E52A69">
        <w:rPr>
          <w:rFonts w:ascii="GillSansMT" w:hAnsi="GillSansMT" w:cs="GillSansMT"/>
        </w:rPr>
        <w:t>The National Physical Activity Guidelines for Adults state that t</w:t>
      </w:r>
      <w:r w:rsidR="00116FFD" w:rsidRPr="005509F3">
        <w:rPr>
          <w:rFonts w:cs="Arial"/>
        </w:rPr>
        <w:t xml:space="preserve">o maintain general health and wellbeing, it is recommended that we engage in moderate </w:t>
      </w:r>
      <w:r w:rsidR="00116FFD" w:rsidRPr="005509F3">
        <w:rPr>
          <w:rFonts w:cs="Arial"/>
        </w:rPr>
        <w:lastRenderedPageBreak/>
        <w:t>intensity activit</w:t>
      </w:r>
      <w:r w:rsidR="00116FFD">
        <w:rPr>
          <w:rFonts w:cs="Arial"/>
        </w:rPr>
        <w:t>y for at least 30 minutes a day</w:t>
      </w:r>
      <w:r w:rsidR="00406ECE">
        <w:rPr>
          <w:rFonts w:cs="Arial"/>
        </w:rPr>
        <w:t xml:space="preserve">. </w:t>
      </w:r>
      <w:r w:rsidR="00406ECE" w:rsidRPr="00406ECE">
        <w:rPr>
          <w:rFonts w:cs="Arial"/>
        </w:rPr>
        <w:t xml:space="preserve">Moderate intensity refers to a </w:t>
      </w:r>
      <w:r w:rsidR="00406ECE" w:rsidRPr="00406ECE">
        <w:rPr>
          <w:rFonts w:cs="Arial"/>
          <w:color w:val="333333"/>
        </w:rPr>
        <w:t xml:space="preserve">level of exertion that </w:t>
      </w:r>
      <w:r w:rsidR="00406ECE">
        <w:rPr>
          <w:rFonts w:cs="Arial"/>
          <w:color w:val="333333"/>
        </w:rPr>
        <w:t>increases</w:t>
      </w:r>
      <w:r w:rsidR="00406ECE" w:rsidRPr="00406ECE">
        <w:rPr>
          <w:rFonts w:cs="Arial"/>
          <w:color w:val="333333"/>
        </w:rPr>
        <w:t xml:space="preserve"> your heart rate </w:t>
      </w:r>
      <w:r w:rsidR="00406ECE">
        <w:rPr>
          <w:rFonts w:cs="Arial"/>
          <w:color w:val="333333"/>
        </w:rPr>
        <w:t>to a point where you are</w:t>
      </w:r>
      <w:r w:rsidR="00406ECE" w:rsidRPr="00406ECE">
        <w:rPr>
          <w:rFonts w:cs="Arial"/>
          <w:color w:val="333333"/>
        </w:rPr>
        <w:t xml:space="preserve"> </w:t>
      </w:r>
      <w:r w:rsidR="00406ECE">
        <w:rPr>
          <w:rFonts w:cs="Arial"/>
          <w:color w:val="333333"/>
        </w:rPr>
        <w:t>still</w:t>
      </w:r>
      <w:r w:rsidR="00406ECE" w:rsidRPr="00406ECE">
        <w:rPr>
          <w:rFonts w:cs="Arial"/>
          <w:color w:val="333333"/>
        </w:rPr>
        <w:t xml:space="preserve"> able to carry on a conversation.</w:t>
      </w:r>
      <w:r w:rsidR="00116FFD" w:rsidRPr="00406ECE">
        <w:rPr>
          <w:rFonts w:cs="Arial"/>
        </w:rPr>
        <w:t xml:space="preserve"> </w:t>
      </w:r>
    </w:p>
    <w:p w:rsidR="00E52A69" w:rsidRDefault="00E52A69" w:rsidP="00407858">
      <w:pPr>
        <w:autoSpaceDE w:val="0"/>
        <w:autoSpaceDN w:val="0"/>
        <w:adjustRightInd w:val="0"/>
        <w:spacing w:after="120" w:line="240" w:lineRule="auto"/>
        <w:jc w:val="both"/>
        <w:rPr>
          <w:rFonts w:cs="Arial"/>
        </w:rPr>
      </w:pPr>
      <w:r>
        <w:rPr>
          <w:rFonts w:cs="Arial"/>
        </w:rPr>
        <w:t>The Premier</w:t>
      </w:r>
      <w:r w:rsidR="000E6976">
        <w:rPr>
          <w:rFonts w:cs="Arial"/>
        </w:rPr>
        <w:t>’</w:t>
      </w:r>
      <w:r>
        <w:rPr>
          <w:rFonts w:cs="Arial"/>
        </w:rPr>
        <w:t xml:space="preserve">s Physical Activity Council </w:t>
      </w:r>
      <w:r>
        <w:rPr>
          <w:rFonts w:cs="Arial"/>
          <w:color w:val="000000"/>
        </w:rPr>
        <w:t>encourages physical activity</w:t>
      </w:r>
      <w:r w:rsidR="005509F3" w:rsidRPr="005509F3">
        <w:rPr>
          <w:rFonts w:cs="Arial"/>
          <w:color w:val="000000"/>
        </w:rPr>
        <w:t xml:space="preserve"> </w:t>
      </w:r>
      <w:r>
        <w:rPr>
          <w:rFonts w:cs="Arial"/>
          <w:color w:val="000000"/>
        </w:rPr>
        <w:t xml:space="preserve">through active transport </w:t>
      </w:r>
      <w:r w:rsidR="005509F3" w:rsidRPr="005509F3">
        <w:rPr>
          <w:rFonts w:cs="Arial"/>
          <w:color w:val="000000"/>
        </w:rPr>
        <w:t xml:space="preserve">such as walking </w:t>
      </w:r>
      <w:r w:rsidR="00B60BB3">
        <w:rPr>
          <w:rFonts w:cs="Arial"/>
          <w:color w:val="000000"/>
        </w:rPr>
        <w:t>or</w:t>
      </w:r>
      <w:r w:rsidR="005509F3" w:rsidRPr="005509F3">
        <w:rPr>
          <w:rFonts w:cs="Arial"/>
          <w:color w:val="000000"/>
        </w:rPr>
        <w:t xml:space="preserve"> cycling </w:t>
      </w:r>
      <w:r w:rsidR="0063735A">
        <w:t>to work and school. This form of exercise</w:t>
      </w:r>
      <w:r w:rsidR="00BC4021" w:rsidRPr="00BC4021">
        <w:t xml:space="preserve"> is </w:t>
      </w:r>
      <w:r w:rsidR="005509F3" w:rsidRPr="005509F3">
        <w:rPr>
          <w:rFonts w:cs="Arial"/>
          <w:color w:val="000000"/>
        </w:rPr>
        <w:t xml:space="preserve">generally low cost and </w:t>
      </w:r>
      <w:r w:rsidR="00B60BB3">
        <w:rPr>
          <w:rFonts w:cs="Arial"/>
          <w:color w:val="000000"/>
        </w:rPr>
        <w:t>is</w:t>
      </w:r>
      <w:r w:rsidR="005509F3" w:rsidRPr="005509F3">
        <w:rPr>
          <w:rFonts w:cs="Arial"/>
          <w:color w:val="000000"/>
        </w:rPr>
        <w:t xml:space="preserve"> more likely to have g</w:t>
      </w:r>
      <w:r w:rsidR="00B60BB3">
        <w:rPr>
          <w:rFonts w:cs="Arial"/>
          <w:color w:val="000000"/>
        </w:rPr>
        <w:t>reater long-term success as the activity</w:t>
      </w:r>
      <w:r w:rsidR="005509F3" w:rsidRPr="005509F3">
        <w:rPr>
          <w:rFonts w:cs="Arial"/>
          <w:color w:val="000000"/>
        </w:rPr>
        <w:t xml:space="preserve"> become</w:t>
      </w:r>
      <w:r w:rsidR="00B60BB3">
        <w:rPr>
          <w:rFonts w:cs="Arial"/>
          <w:color w:val="000000"/>
        </w:rPr>
        <w:t>s</w:t>
      </w:r>
      <w:r w:rsidR="005509F3" w:rsidRPr="005509F3">
        <w:rPr>
          <w:rFonts w:cs="Arial"/>
          <w:color w:val="000000"/>
        </w:rPr>
        <w:t xml:space="preserve"> part of everyday behaviour.</w:t>
      </w:r>
      <w:r w:rsidR="005509F3" w:rsidRPr="005509F3">
        <w:rPr>
          <w:rFonts w:cs="Arial"/>
        </w:rPr>
        <w:t xml:space="preserve"> Incidental exercise associated with the use of public transport is also highly beneficial to individual health. </w:t>
      </w:r>
    </w:p>
    <w:p w:rsidR="00436057" w:rsidRDefault="0063735A" w:rsidP="00E52A9A">
      <w:pPr>
        <w:pStyle w:val="Heading2"/>
        <w:rPr>
          <w:lang w:val="en-GB"/>
        </w:rPr>
      </w:pPr>
      <w:bookmarkStart w:id="35" w:name="_Toc326833290"/>
      <w:r>
        <w:rPr>
          <w:lang w:val="en-GB"/>
        </w:rPr>
        <w:t>High reliance on cars</w:t>
      </w:r>
      <w:bookmarkEnd w:id="35"/>
    </w:p>
    <w:p w:rsidR="00B00E3D" w:rsidRDefault="00B60BB3" w:rsidP="002B1856">
      <w:pPr>
        <w:autoSpaceDE w:val="0"/>
        <w:autoSpaceDN w:val="0"/>
        <w:adjustRightInd w:val="0"/>
        <w:spacing w:after="120" w:line="240" w:lineRule="auto"/>
        <w:jc w:val="both"/>
        <w:rPr>
          <w:rFonts w:cs="Arial"/>
        </w:rPr>
      </w:pPr>
      <w:r w:rsidRPr="00EB33D6">
        <w:rPr>
          <w:b/>
        </w:rPr>
        <w:t>The problem:</w:t>
      </w:r>
      <w:r w:rsidRPr="00EB33D6">
        <w:t xml:space="preserve"> </w:t>
      </w:r>
      <w:r w:rsidR="00D45872" w:rsidRPr="00EB33D6">
        <w:t xml:space="preserve">Greater Hobart has </w:t>
      </w:r>
      <w:r w:rsidR="0063735A" w:rsidRPr="00EB33D6">
        <w:t>a high reliance on car</w:t>
      </w:r>
      <w:r w:rsidR="00F22C57" w:rsidRPr="00EB33D6">
        <w:t>s, with</w:t>
      </w:r>
      <w:r w:rsidR="00EB33D6" w:rsidRPr="00EB33D6">
        <w:t xml:space="preserve"> </w:t>
      </w:r>
      <w:r w:rsidR="00EB33D6">
        <w:t>78.8</w:t>
      </w:r>
      <w:r w:rsidR="00EB33D6" w:rsidRPr="00EB33D6">
        <w:t xml:space="preserve"> </w:t>
      </w:r>
      <w:r w:rsidR="0036420A">
        <w:t>per cent</w:t>
      </w:r>
      <w:r w:rsidR="00EB33D6" w:rsidRPr="00EB33D6">
        <w:t xml:space="preserve"> of </w:t>
      </w:r>
      <w:r w:rsidR="00EB33D6">
        <w:t>journey to work trips</w:t>
      </w:r>
      <w:r w:rsidR="00EB33D6" w:rsidRPr="00EB33D6">
        <w:t xml:space="preserve"> being car trips </w:t>
      </w:r>
      <w:r w:rsidR="00EB33D6">
        <w:t>(</w:t>
      </w:r>
      <w:r w:rsidR="00EB33D6" w:rsidRPr="00EB33D6">
        <w:t>either car as driver or passenger</w:t>
      </w:r>
      <w:r w:rsidR="00EB33D6">
        <w:t>)</w:t>
      </w:r>
      <w:r w:rsidR="00EB33D6" w:rsidRPr="00EB33D6">
        <w:t xml:space="preserve"> (</w:t>
      </w:r>
      <w:r w:rsidR="00EB33D6">
        <w:t>ABS 2006</w:t>
      </w:r>
      <w:r w:rsidR="00EB33D6" w:rsidRPr="00EB33D6">
        <w:t>).</w:t>
      </w:r>
      <w:r w:rsidR="00EB33D6">
        <w:t xml:space="preserve"> Greater Hobart has the </w:t>
      </w:r>
      <w:r w:rsidR="0016753E">
        <w:t>second lowest</w:t>
      </w:r>
      <w:r w:rsidR="00D45872" w:rsidRPr="001F31E4">
        <w:t xml:space="preserve"> </w:t>
      </w:r>
      <w:r w:rsidR="00B361B5">
        <w:t xml:space="preserve">mode share for </w:t>
      </w:r>
      <w:r w:rsidR="00D45872" w:rsidRPr="001F31E4">
        <w:t xml:space="preserve">public transport </w:t>
      </w:r>
      <w:r w:rsidR="0016753E">
        <w:t xml:space="preserve">in the journey to work at 6.1 </w:t>
      </w:r>
      <w:r w:rsidR="0036420A">
        <w:t>per cent</w:t>
      </w:r>
      <w:r w:rsidR="0016753E">
        <w:t xml:space="preserve"> when compared to </w:t>
      </w:r>
      <w:r w:rsidR="00B361B5">
        <w:t>other capital cities</w:t>
      </w:r>
      <w:r w:rsidR="00B361B5" w:rsidRPr="000B3E6D">
        <w:t xml:space="preserve">. </w:t>
      </w:r>
      <w:r w:rsidR="0016753E" w:rsidRPr="000B3E6D">
        <w:rPr>
          <w:rFonts w:cs="Arial"/>
        </w:rPr>
        <w:t>While p</w:t>
      </w:r>
      <w:r w:rsidR="00D45872" w:rsidRPr="000B3E6D">
        <w:t xml:space="preserve">ublic transport use has been significantly rising in </w:t>
      </w:r>
      <w:r w:rsidR="0016753E" w:rsidRPr="000B3E6D">
        <w:t xml:space="preserve">the </w:t>
      </w:r>
      <w:r w:rsidR="00D45872" w:rsidRPr="000B3E6D">
        <w:t xml:space="preserve">other </w:t>
      </w:r>
      <w:r w:rsidR="00BC2810" w:rsidRPr="000B3E6D">
        <w:t>Australian</w:t>
      </w:r>
      <w:r w:rsidR="0016753E" w:rsidRPr="000B3E6D">
        <w:t xml:space="preserve"> capital cities from the 1990s, </w:t>
      </w:r>
      <w:r w:rsidR="00D45872" w:rsidRPr="000B3E6D">
        <w:t xml:space="preserve">Greater Hobart is only now just seeing a slight increase in public transport use, </w:t>
      </w:r>
      <w:r w:rsidR="00D45872" w:rsidRPr="000B3E6D">
        <w:rPr>
          <w:rFonts w:cs="Arial"/>
        </w:rPr>
        <w:t xml:space="preserve">increasing from 5.7 </w:t>
      </w:r>
      <w:r w:rsidR="0036420A">
        <w:rPr>
          <w:rFonts w:cs="Arial"/>
        </w:rPr>
        <w:t>per cent</w:t>
      </w:r>
      <w:r w:rsidR="00D45872" w:rsidRPr="000B3E6D">
        <w:rPr>
          <w:rFonts w:cs="Arial"/>
        </w:rPr>
        <w:t xml:space="preserve"> in 2001 to 6.1 </w:t>
      </w:r>
      <w:r w:rsidR="0036420A">
        <w:rPr>
          <w:rFonts w:cs="Arial"/>
        </w:rPr>
        <w:t>per cent</w:t>
      </w:r>
      <w:r w:rsidR="00D45872" w:rsidRPr="000B3E6D">
        <w:rPr>
          <w:rFonts w:cs="Arial"/>
        </w:rPr>
        <w:t xml:space="preserve"> in 2006 (ABS 2006).</w:t>
      </w:r>
      <w:r w:rsidR="000B3E6D">
        <w:rPr>
          <w:rFonts w:cs="Arial"/>
        </w:rPr>
        <w:t xml:space="preserve"> </w:t>
      </w:r>
    </w:p>
    <w:p w:rsidR="00B00E3D" w:rsidRDefault="00B00E3D" w:rsidP="002B1856">
      <w:pPr>
        <w:autoSpaceDE w:val="0"/>
        <w:autoSpaceDN w:val="0"/>
        <w:adjustRightInd w:val="0"/>
        <w:spacing w:after="120" w:line="240" w:lineRule="auto"/>
        <w:jc w:val="both"/>
        <w:rPr>
          <w:rFonts w:cs="Arial"/>
        </w:rPr>
      </w:pPr>
      <w:r>
        <w:rPr>
          <w:rFonts w:cs="Arial"/>
        </w:rPr>
        <w:t>Recent figures from Metro Tasmania (July 2011</w:t>
      </w:r>
      <w:r w:rsidR="001E5686">
        <w:rPr>
          <w:rFonts w:cs="Arial"/>
        </w:rPr>
        <w:t xml:space="preserve"> </w:t>
      </w:r>
      <w:r>
        <w:rPr>
          <w:rFonts w:cs="Arial"/>
        </w:rPr>
        <w:t>-</w:t>
      </w:r>
      <w:r w:rsidR="001E5686">
        <w:rPr>
          <w:rFonts w:cs="Arial"/>
        </w:rPr>
        <w:t xml:space="preserve"> </w:t>
      </w:r>
      <w:r>
        <w:rPr>
          <w:rFonts w:cs="Arial"/>
        </w:rPr>
        <w:t xml:space="preserve">December 2011) show a very small increase in patronage figures for Greater Hobart at just 0.01 </w:t>
      </w:r>
      <w:r w:rsidR="0036420A">
        <w:rPr>
          <w:rFonts w:cs="Arial"/>
        </w:rPr>
        <w:t>per cent</w:t>
      </w:r>
      <w:r w:rsidR="00453113">
        <w:rPr>
          <w:rFonts w:cs="Arial"/>
        </w:rPr>
        <w:t xml:space="preserve"> over that period</w:t>
      </w:r>
      <w:r>
        <w:rPr>
          <w:rFonts w:cs="Arial"/>
        </w:rPr>
        <w:t>.</w:t>
      </w:r>
    </w:p>
    <w:p w:rsidR="000B3E6D" w:rsidRPr="00EB33D6" w:rsidRDefault="000B3E6D" w:rsidP="002B1856">
      <w:pPr>
        <w:autoSpaceDE w:val="0"/>
        <w:autoSpaceDN w:val="0"/>
        <w:adjustRightInd w:val="0"/>
        <w:spacing w:after="120" w:line="240" w:lineRule="auto"/>
        <w:jc w:val="both"/>
      </w:pPr>
      <w:r>
        <w:rPr>
          <w:rFonts w:cs="Arial"/>
        </w:rPr>
        <w:t xml:space="preserve">High car usage creates problems in terms of increasing greenhouse gas emissions and </w:t>
      </w:r>
      <w:r w:rsidR="007F52FC">
        <w:rPr>
          <w:rFonts w:cs="Arial"/>
        </w:rPr>
        <w:t xml:space="preserve">makes us vulnerable to increasing oil price vulnerability. </w:t>
      </w:r>
    </w:p>
    <w:p w:rsidR="00BE701C" w:rsidRDefault="0078440B" w:rsidP="002B1856">
      <w:pPr>
        <w:autoSpaceDE w:val="0"/>
        <w:autoSpaceDN w:val="0"/>
        <w:adjustRightInd w:val="0"/>
        <w:spacing w:after="120" w:line="240" w:lineRule="auto"/>
        <w:jc w:val="both"/>
        <w:rPr>
          <w:rFonts w:cs="Arial"/>
        </w:rPr>
      </w:pPr>
      <w:r w:rsidRPr="0078440B">
        <w:rPr>
          <w:rFonts w:cs="Arial"/>
          <w:b/>
        </w:rPr>
        <w:t>The cause:</w:t>
      </w:r>
      <w:r>
        <w:rPr>
          <w:rFonts w:cs="Arial"/>
        </w:rPr>
        <w:t xml:space="preserve"> </w:t>
      </w:r>
      <w:r w:rsidR="00BE701C">
        <w:rPr>
          <w:rFonts w:cs="Arial"/>
        </w:rPr>
        <w:t xml:space="preserve">The </w:t>
      </w:r>
      <w:r w:rsidR="000B3E6D">
        <w:rPr>
          <w:rFonts w:cs="Arial"/>
        </w:rPr>
        <w:t>high reliance</w:t>
      </w:r>
      <w:r w:rsidR="00BE701C">
        <w:rPr>
          <w:rFonts w:cs="Arial"/>
        </w:rPr>
        <w:t xml:space="preserve"> </w:t>
      </w:r>
      <w:r w:rsidR="000B3E6D">
        <w:rPr>
          <w:rFonts w:cs="Arial"/>
        </w:rPr>
        <w:t>of cars in</w:t>
      </w:r>
      <w:r w:rsidR="00BE701C">
        <w:rPr>
          <w:rFonts w:cs="Arial"/>
        </w:rPr>
        <w:t xml:space="preserve"> Greater Hobart can be attributed to:</w:t>
      </w:r>
    </w:p>
    <w:p w:rsidR="009D675B" w:rsidRDefault="009D675B" w:rsidP="00F53395">
      <w:pPr>
        <w:pStyle w:val="ListParagraph"/>
        <w:numPr>
          <w:ilvl w:val="0"/>
          <w:numId w:val="6"/>
        </w:numPr>
        <w:autoSpaceDE w:val="0"/>
        <w:autoSpaceDN w:val="0"/>
        <w:adjustRightInd w:val="0"/>
        <w:spacing w:after="120" w:line="240" w:lineRule="auto"/>
        <w:contextualSpacing w:val="0"/>
        <w:jc w:val="both"/>
        <w:rPr>
          <w:rFonts w:cs="Arial"/>
        </w:rPr>
      </w:pPr>
      <w:r>
        <w:rPr>
          <w:rFonts w:cs="Arial"/>
        </w:rPr>
        <w:t>Low density pattern of development, with growth occurring in outer urban areas, creating longer travel distances between work and people’s homes.</w:t>
      </w:r>
    </w:p>
    <w:p w:rsidR="00BE701C" w:rsidRDefault="00BE701C" w:rsidP="00F53395">
      <w:pPr>
        <w:pStyle w:val="ListParagraph"/>
        <w:numPr>
          <w:ilvl w:val="0"/>
          <w:numId w:val="6"/>
        </w:numPr>
        <w:autoSpaceDE w:val="0"/>
        <w:autoSpaceDN w:val="0"/>
        <w:adjustRightInd w:val="0"/>
        <w:spacing w:after="120" w:line="240" w:lineRule="auto"/>
        <w:contextualSpacing w:val="0"/>
        <w:jc w:val="both"/>
        <w:rPr>
          <w:rFonts w:cs="Arial"/>
        </w:rPr>
      </w:pPr>
      <w:r>
        <w:rPr>
          <w:rFonts w:cs="Arial"/>
        </w:rPr>
        <w:t>Availability and low pricing of car parking in the CBD and provision of free car pa</w:t>
      </w:r>
      <w:r w:rsidR="000B3E6D">
        <w:rPr>
          <w:rFonts w:cs="Arial"/>
        </w:rPr>
        <w:t>rking in other activity centres which encourages car use.</w:t>
      </w:r>
    </w:p>
    <w:p w:rsidR="00453113" w:rsidRDefault="005E6C98" w:rsidP="00F53395">
      <w:pPr>
        <w:pStyle w:val="ListParagraph"/>
        <w:numPr>
          <w:ilvl w:val="0"/>
          <w:numId w:val="6"/>
        </w:numPr>
        <w:autoSpaceDE w:val="0"/>
        <w:autoSpaceDN w:val="0"/>
        <w:adjustRightInd w:val="0"/>
        <w:spacing w:after="120" w:line="240" w:lineRule="auto"/>
        <w:contextualSpacing w:val="0"/>
        <w:jc w:val="both"/>
        <w:rPr>
          <w:rFonts w:cs="Arial"/>
        </w:rPr>
      </w:pPr>
      <w:r>
        <w:rPr>
          <w:rFonts w:cs="Arial"/>
        </w:rPr>
        <w:t>Convenience of car travel over other modes, such as r</w:t>
      </w:r>
      <w:r w:rsidR="00BE701C">
        <w:rPr>
          <w:rFonts w:cs="Arial"/>
        </w:rPr>
        <w:t xml:space="preserve">elatively low levels of congestion in peak periods, therefore cars </w:t>
      </w:r>
      <w:r w:rsidR="000B3E6D">
        <w:rPr>
          <w:rFonts w:cs="Arial"/>
        </w:rPr>
        <w:t xml:space="preserve">generally </w:t>
      </w:r>
      <w:r w:rsidR="00BE701C">
        <w:rPr>
          <w:rFonts w:cs="Arial"/>
        </w:rPr>
        <w:t xml:space="preserve">have faster travel times than </w:t>
      </w:r>
      <w:r w:rsidR="000B3E6D">
        <w:rPr>
          <w:rFonts w:cs="Arial"/>
        </w:rPr>
        <w:t>other transport modes.</w:t>
      </w:r>
      <w:r w:rsidR="00BE701C">
        <w:rPr>
          <w:rFonts w:cs="Arial"/>
        </w:rPr>
        <w:t xml:space="preserve"> </w:t>
      </w:r>
    </w:p>
    <w:p w:rsidR="00453113" w:rsidRDefault="00453113" w:rsidP="00F53395">
      <w:pPr>
        <w:pStyle w:val="ListParagraph"/>
        <w:numPr>
          <w:ilvl w:val="0"/>
          <w:numId w:val="6"/>
        </w:numPr>
        <w:autoSpaceDE w:val="0"/>
        <w:autoSpaceDN w:val="0"/>
        <w:adjustRightInd w:val="0"/>
        <w:spacing w:after="120" w:line="240" w:lineRule="auto"/>
        <w:contextualSpacing w:val="0"/>
        <w:jc w:val="both"/>
        <w:rPr>
          <w:rFonts w:cs="Arial"/>
        </w:rPr>
      </w:pPr>
      <w:r>
        <w:rPr>
          <w:rFonts w:cs="Arial"/>
        </w:rPr>
        <w:t xml:space="preserve">Long-standing under-investment in urban public transport.  Since at least the early 1960s, arguably no genuinely significant new investment in </w:t>
      </w:r>
      <w:r w:rsidR="002E1B0D">
        <w:rPr>
          <w:rFonts w:cs="Arial"/>
        </w:rPr>
        <w:t xml:space="preserve">urban </w:t>
      </w:r>
      <w:r>
        <w:rPr>
          <w:rFonts w:cs="Arial"/>
        </w:rPr>
        <w:t>public transport infrastructure or services has occurred</w:t>
      </w:r>
      <w:r w:rsidR="00B0157C">
        <w:rPr>
          <w:rFonts w:cs="Arial"/>
        </w:rPr>
        <w:t xml:space="preserve">, except for </w:t>
      </w:r>
      <w:r w:rsidR="003D34CC">
        <w:rPr>
          <w:rFonts w:cs="Arial"/>
        </w:rPr>
        <w:t>investment</w:t>
      </w:r>
      <w:r w:rsidR="00B0157C">
        <w:rPr>
          <w:rFonts w:cs="Arial"/>
        </w:rPr>
        <w:t xml:space="preserve"> in </w:t>
      </w:r>
      <w:r w:rsidR="003D34CC">
        <w:rPr>
          <w:rFonts w:cs="Arial"/>
        </w:rPr>
        <w:t>urban bus depots.</w:t>
      </w:r>
      <w:r w:rsidR="00A55EC4">
        <w:rPr>
          <w:rFonts w:cs="Arial"/>
        </w:rPr>
        <w:t xml:space="preserve">  Instead, the bus system has been expanded and modified incrementally within a fixed policy approach, with the primary focus being cost minimisation and the provision of </w:t>
      </w:r>
      <w:r w:rsidR="003D34CC">
        <w:rPr>
          <w:rFonts w:cs="Arial"/>
        </w:rPr>
        <w:t>a service</w:t>
      </w:r>
      <w:r w:rsidR="00A55EC4">
        <w:rPr>
          <w:rFonts w:cs="Arial"/>
        </w:rPr>
        <w:t xml:space="preserve"> for the transport disadvantaged.  Over many years, this has produced the current situation in which:</w:t>
      </w:r>
    </w:p>
    <w:p w:rsidR="003D34CC" w:rsidRDefault="00526F14"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sidRPr="003D34CC">
        <w:rPr>
          <w:rFonts w:cs="Arial"/>
        </w:rPr>
        <w:t>In an attempt to reach very small numbers of disadvantaged customers, bus routes are often circuitous and infrequent, because funding limitations demand a compromise between coverage and frequency</w:t>
      </w:r>
      <w:r w:rsidR="003D34CC">
        <w:rPr>
          <w:rFonts w:cs="Arial"/>
        </w:rPr>
        <w:t xml:space="preserve">. </w:t>
      </w:r>
      <w:r w:rsidRPr="003D34CC">
        <w:rPr>
          <w:rFonts w:cs="Arial"/>
        </w:rPr>
        <w:t xml:space="preserve">This high penetration - low frequency network design means that bus timetables often do not match the times people want to travel, especially in outer urban areas. </w:t>
      </w:r>
    </w:p>
    <w:p w:rsidR="003D34CC" w:rsidRDefault="002E1B0D"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sidRPr="003D34CC">
        <w:rPr>
          <w:rFonts w:cs="Arial"/>
        </w:rPr>
        <w:t xml:space="preserve">A continual reluctance </w:t>
      </w:r>
      <w:r w:rsidR="003C3B8F" w:rsidRPr="003D34CC">
        <w:rPr>
          <w:rFonts w:cs="Arial"/>
        </w:rPr>
        <w:t xml:space="preserve">(for political reasons) </w:t>
      </w:r>
      <w:r w:rsidRPr="003D34CC">
        <w:rPr>
          <w:rFonts w:cs="Arial"/>
        </w:rPr>
        <w:t>to rationalise very poorly patronised services, coupled with an absence of sufficient growth funding, inevitably leads to the gradual dilution of services across the entire city</w:t>
      </w:r>
      <w:r w:rsidR="003C3B8F" w:rsidRPr="003D34CC">
        <w:rPr>
          <w:rFonts w:cs="Arial"/>
        </w:rPr>
        <w:t xml:space="preserve">.  Consequently, in almost no location is the bus service able to be high quality and competitive with </w:t>
      </w:r>
      <w:r w:rsidR="003D34CC">
        <w:rPr>
          <w:rFonts w:cs="Arial"/>
        </w:rPr>
        <w:t>cars</w:t>
      </w:r>
      <w:r w:rsidR="003C3B8F" w:rsidRPr="003D34CC">
        <w:rPr>
          <w:rFonts w:cs="Arial"/>
        </w:rPr>
        <w:t>.</w:t>
      </w:r>
    </w:p>
    <w:p w:rsidR="003D34CC" w:rsidRDefault="00A55EC4"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sidRPr="003D34CC">
        <w:rPr>
          <w:rFonts w:cs="Arial"/>
        </w:rPr>
        <w:t xml:space="preserve">With very few minor exceptions, </w:t>
      </w:r>
      <w:r w:rsidR="00526F14" w:rsidRPr="003D34CC">
        <w:rPr>
          <w:rFonts w:cs="Arial"/>
        </w:rPr>
        <w:t xml:space="preserve">buses have no </w:t>
      </w:r>
      <w:r w:rsidRPr="003D34CC">
        <w:rPr>
          <w:rFonts w:cs="Arial"/>
        </w:rPr>
        <w:t xml:space="preserve">on-road </w:t>
      </w:r>
      <w:r w:rsidR="00526F14" w:rsidRPr="003D34CC">
        <w:rPr>
          <w:rFonts w:cs="Arial"/>
        </w:rPr>
        <w:t>priority over cars</w:t>
      </w:r>
      <w:r w:rsidRPr="003D34CC">
        <w:rPr>
          <w:rFonts w:cs="Arial"/>
        </w:rPr>
        <w:t>,</w:t>
      </w:r>
      <w:r w:rsidR="00526F14" w:rsidRPr="003D34CC">
        <w:rPr>
          <w:rFonts w:cs="Arial"/>
        </w:rPr>
        <w:t xml:space="preserve"> which </w:t>
      </w:r>
      <w:r w:rsidRPr="003D34CC">
        <w:rPr>
          <w:rFonts w:cs="Arial"/>
        </w:rPr>
        <w:t xml:space="preserve">means that buses cannot deliver better </w:t>
      </w:r>
      <w:r w:rsidR="00526F14" w:rsidRPr="003D34CC">
        <w:rPr>
          <w:rFonts w:cs="Arial"/>
        </w:rPr>
        <w:t>travel times</w:t>
      </w:r>
      <w:r w:rsidRPr="003D34CC">
        <w:rPr>
          <w:rFonts w:cs="Arial"/>
        </w:rPr>
        <w:t xml:space="preserve"> than cars (even on relatively direct and/or ‘express’ services)</w:t>
      </w:r>
      <w:r w:rsidR="00526F14" w:rsidRPr="003D34CC">
        <w:rPr>
          <w:rFonts w:cs="Arial"/>
        </w:rPr>
        <w:t>.</w:t>
      </w:r>
    </w:p>
    <w:p w:rsidR="003D34CC" w:rsidRDefault="005E6C98"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Pr>
          <w:rFonts w:cs="Arial"/>
        </w:rPr>
        <w:lastRenderedPageBreak/>
        <w:t>Perceived lack of</w:t>
      </w:r>
      <w:r w:rsidR="002E1B0D" w:rsidRPr="003D34CC">
        <w:rPr>
          <w:rFonts w:cs="Arial"/>
        </w:rPr>
        <w:t xml:space="preserve"> amenity of bus stops and bus malls, exacerbating the unattractiveness of the bus service (particularly with long waiting times associated with infrequent services).</w:t>
      </w:r>
    </w:p>
    <w:p w:rsidR="003D34CC" w:rsidRDefault="00526F14"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sidRPr="003D34CC">
        <w:rPr>
          <w:rFonts w:cs="Arial"/>
        </w:rPr>
        <w:t xml:space="preserve">Public transport </w:t>
      </w:r>
      <w:r w:rsidR="00A55EC4" w:rsidRPr="003D34CC">
        <w:rPr>
          <w:rFonts w:cs="Arial"/>
        </w:rPr>
        <w:t xml:space="preserve">carries </w:t>
      </w:r>
      <w:r w:rsidRPr="003D34CC">
        <w:rPr>
          <w:rFonts w:cs="Arial"/>
        </w:rPr>
        <w:t xml:space="preserve">a </w:t>
      </w:r>
      <w:r w:rsidR="003D34CC" w:rsidRPr="003D34CC">
        <w:rPr>
          <w:rFonts w:cs="Arial"/>
        </w:rPr>
        <w:t>stigma that</w:t>
      </w:r>
      <w:r w:rsidR="00A55EC4" w:rsidRPr="003D34CC">
        <w:rPr>
          <w:rFonts w:cs="Arial"/>
        </w:rPr>
        <w:t xml:space="preserve"> it is catering for a disadvantaged and socially undesirable segment of the community</w:t>
      </w:r>
      <w:r w:rsidRPr="003D34CC">
        <w:rPr>
          <w:rFonts w:cs="Arial"/>
        </w:rPr>
        <w:t>.</w:t>
      </w:r>
    </w:p>
    <w:p w:rsidR="00ED4996" w:rsidRPr="003D34CC" w:rsidRDefault="00526F14" w:rsidP="003D34CC">
      <w:pPr>
        <w:pStyle w:val="ListParagraph"/>
        <w:numPr>
          <w:ilvl w:val="0"/>
          <w:numId w:val="72"/>
        </w:numPr>
        <w:autoSpaceDE w:val="0"/>
        <w:autoSpaceDN w:val="0"/>
        <w:adjustRightInd w:val="0"/>
        <w:spacing w:after="120" w:line="240" w:lineRule="auto"/>
        <w:ind w:left="1077" w:hanging="357"/>
        <w:contextualSpacing w:val="0"/>
        <w:jc w:val="both"/>
        <w:rPr>
          <w:rFonts w:cs="Arial"/>
        </w:rPr>
      </w:pPr>
      <w:r w:rsidRPr="003D34CC">
        <w:rPr>
          <w:rFonts w:cs="Arial"/>
        </w:rPr>
        <w:t xml:space="preserve">Public transport is </w:t>
      </w:r>
      <w:r w:rsidR="003D34CC">
        <w:rPr>
          <w:rFonts w:cs="Arial"/>
        </w:rPr>
        <w:t xml:space="preserve">often perceived to </w:t>
      </w:r>
      <w:r w:rsidR="000E6976">
        <w:rPr>
          <w:rFonts w:cs="Arial"/>
        </w:rPr>
        <w:t xml:space="preserve">be </w:t>
      </w:r>
      <w:r w:rsidR="003D34CC">
        <w:rPr>
          <w:rFonts w:cs="Arial"/>
        </w:rPr>
        <w:t>un</w:t>
      </w:r>
      <w:r w:rsidRPr="003D34CC">
        <w:rPr>
          <w:rFonts w:cs="Arial"/>
        </w:rPr>
        <w:t>competitive with the car in terms of price, especially if people travel together and have access to cheap car parking.</w:t>
      </w:r>
    </w:p>
    <w:p w:rsidR="008A4090" w:rsidRPr="008A4090" w:rsidRDefault="009D675B" w:rsidP="008A4090">
      <w:pPr>
        <w:autoSpaceDE w:val="0"/>
        <w:autoSpaceDN w:val="0"/>
        <w:adjustRightInd w:val="0"/>
        <w:spacing w:after="120" w:line="240" w:lineRule="auto"/>
        <w:jc w:val="both"/>
        <w:rPr>
          <w:rFonts w:cs="Arial"/>
        </w:rPr>
      </w:pPr>
      <w:r w:rsidRPr="008A4090">
        <w:rPr>
          <w:rFonts w:cs="Arial"/>
          <w:b/>
        </w:rPr>
        <w:t>What is occurring</w:t>
      </w:r>
      <w:r w:rsidR="002B1856" w:rsidRPr="008A4090">
        <w:rPr>
          <w:rFonts w:cs="Arial"/>
          <w:b/>
        </w:rPr>
        <w:t>:</w:t>
      </w:r>
      <w:r w:rsidR="002B1856" w:rsidRPr="008A4090">
        <w:rPr>
          <w:rFonts w:cs="Arial"/>
          <w:color w:val="000000"/>
        </w:rPr>
        <w:t xml:space="preserve"> </w:t>
      </w:r>
      <w:r w:rsidR="00A34CEF" w:rsidRPr="008A4090">
        <w:rPr>
          <w:rFonts w:cs="Arial"/>
          <w:color w:val="000000"/>
        </w:rPr>
        <w:t xml:space="preserve">The </w:t>
      </w:r>
      <w:r w:rsidR="000E6976">
        <w:rPr>
          <w:rFonts w:cs="Arial"/>
          <w:color w:val="000000"/>
        </w:rPr>
        <w:t>State</w:t>
      </w:r>
      <w:r w:rsidR="00A34CEF" w:rsidRPr="008A4090">
        <w:rPr>
          <w:rFonts w:cs="Arial"/>
          <w:color w:val="000000"/>
        </w:rPr>
        <w:t xml:space="preserve"> Government has developed</w:t>
      </w:r>
      <w:r w:rsidR="00BC4021" w:rsidRPr="00BC4021">
        <w:rPr>
          <w:color w:val="000000"/>
        </w:rPr>
        <w:t xml:space="preserve"> the </w:t>
      </w:r>
      <w:r w:rsidR="00A34CEF" w:rsidRPr="008A4090">
        <w:rPr>
          <w:rFonts w:cs="Arial"/>
          <w:i/>
          <w:color w:val="000000"/>
        </w:rPr>
        <w:t>Tasmanian Urban Passenger Transport Framework</w:t>
      </w:r>
      <w:r w:rsidR="00A34CEF" w:rsidRPr="008A4090">
        <w:rPr>
          <w:rFonts w:cs="Arial"/>
          <w:color w:val="000000"/>
        </w:rPr>
        <w:t xml:space="preserve"> which aims to i</w:t>
      </w:r>
      <w:r w:rsidR="00A34CEF" w:rsidRPr="008A4090">
        <w:rPr>
          <w:rFonts w:cs="Arial"/>
        </w:rPr>
        <w:t>ncrease</w:t>
      </w:r>
      <w:r w:rsidR="0016753E" w:rsidRPr="008A4090">
        <w:rPr>
          <w:rFonts w:cs="Arial"/>
        </w:rPr>
        <w:t xml:space="preserve"> the attractiveness </w:t>
      </w:r>
      <w:r w:rsidR="002B1856" w:rsidRPr="008A4090">
        <w:rPr>
          <w:rFonts w:cs="Arial"/>
        </w:rPr>
        <w:t xml:space="preserve">of </w:t>
      </w:r>
      <w:r w:rsidR="00A34CEF" w:rsidRPr="008A4090">
        <w:rPr>
          <w:rFonts w:cs="Arial"/>
        </w:rPr>
        <w:t xml:space="preserve">other modes of transport, including public transport, cycling and walking </w:t>
      </w:r>
      <w:r w:rsidR="008A4090">
        <w:rPr>
          <w:rFonts w:cs="Arial"/>
        </w:rPr>
        <w:t xml:space="preserve">which </w:t>
      </w:r>
      <w:r w:rsidR="00A34CEF" w:rsidRPr="008A4090">
        <w:rPr>
          <w:rFonts w:cs="Arial"/>
        </w:rPr>
        <w:t xml:space="preserve">will help to reduce car dependency. </w:t>
      </w:r>
    </w:p>
    <w:p w:rsidR="008A4090" w:rsidRPr="008A4090" w:rsidRDefault="008A4090" w:rsidP="008A4090">
      <w:pPr>
        <w:autoSpaceDE w:val="0"/>
        <w:autoSpaceDN w:val="0"/>
        <w:adjustRightInd w:val="0"/>
        <w:spacing w:after="120" w:line="240" w:lineRule="auto"/>
        <w:jc w:val="both"/>
        <w:rPr>
          <w:rFonts w:cs="Arial"/>
        </w:rPr>
      </w:pPr>
      <w:r w:rsidRPr="008A4090">
        <w:rPr>
          <w:rFonts w:cs="Arial"/>
        </w:rPr>
        <w:t xml:space="preserve">The </w:t>
      </w:r>
      <w:r w:rsidRPr="008A4090">
        <w:rPr>
          <w:rFonts w:cs="Arial"/>
          <w:i/>
        </w:rPr>
        <w:t>Southern Integrated Transport Plan</w:t>
      </w:r>
      <w:r w:rsidRPr="008A4090">
        <w:rPr>
          <w:rFonts w:cs="Arial"/>
        </w:rPr>
        <w:t xml:space="preserve"> contains actions to manage people</w:t>
      </w:r>
      <w:r w:rsidR="008708B6">
        <w:rPr>
          <w:rFonts w:cs="Arial"/>
        </w:rPr>
        <w:t>’s travel demand and influence</w:t>
      </w:r>
      <w:r w:rsidRPr="008A4090">
        <w:rPr>
          <w:rFonts w:cs="Arial"/>
        </w:rPr>
        <w:t xml:space="preserve"> travel choice in peak periods, examples </w:t>
      </w:r>
      <w:r w:rsidR="008708B6">
        <w:rPr>
          <w:rFonts w:cs="Arial"/>
        </w:rPr>
        <w:t xml:space="preserve">of actions </w:t>
      </w:r>
      <w:r w:rsidRPr="008A4090">
        <w:rPr>
          <w:rFonts w:cs="Arial"/>
        </w:rPr>
        <w:t>include:</w:t>
      </w:r>
    </w:p>
    <w:p w:rsidR="008A4090" w:rsidRPr="008A4090" w:rsidRDefault="008A4090" w:rsidP="008A4090">
      <w:pPr>
        <w:pStyle w:val="ListParagraph"/>
        <w:numPr>
          <w:ilvl w:val="0"/>
          <w:numId w:val="10"/>
        </w:numPr>
        <w:autoSpaceDE w:val="0"/>
        <w:autoSpaceDN w:val="0"/>
        <w:adjustRightInd w:val="0"/>
        <w:spacing w:after="120" w:line="240" w:lineRule="auto"/>
        <w:contextualSpacing w:val="0"/>
        <w:jc w:val="both"/>
        <w:rPr>
          <w:rFonts w:cs="Arial"/>
        </w:rPr>
      </w:pPr>
      <w:r w:rsidRPr="008A4090">
        <w:rPr>
          <w:rFonts w:cs="Arial"/>
        </w:rPr>
        <w:t>Develop and implement a Greater Hobart parking strategy.</w:t>
      </w:r>
    </w:p>
    <w:p w:rsidR="008A4090" w:rsidRPr="008A4090" w:rsidRDefault="008A4090" w:rsidP="008A4090">
      <w:pPr>
        <w:pStyle w:val="ListParagraph"/>
        <w:numPr>
          <w:ilvl w:val="0"/>
          <w:numId w:val="10"/>
        </w:numPr>
        <w:autoSpaceDE w:val="0"/>
        <w:autoSpaceDN w:val="0"/>
        <w:adjustRightInd w:val="0"/>
        <w:spacing w:after="120" w:line="240" w:lineRule="auto"/>
        <w:contextualSpacing w:val="0"/>
        <w:jc w:val="both"/>
        <w:rPr>
          <w:rFonts w:cs="Arial"/>
        </w:rPr>
      </w:pPr>
      <w:r w:rsidRPr="008A4090">
        <w:rPr>
          <w:rFonts w:cs="Arial"/>
        </w:rPr>
        <w:t>Manage land use to reduce travel demand on major arterial roads.</w:t>
      </w:r>
    </w:p>
    <w:p w:rsidR="00A34CEF" w:rsidRPr="00A34CEF" w:rsidRDefault="00A34CEF" w:rsidP="008A4090">
      <w:pPr>
        <w:autoSpaceDE w:val="0"/>
        <w:autoSpaceDN w:val="0"/>
        <w:adjustRightInd w:val="0"/>
        <w:spacing w:after="120" w:line="240" w:lineRule="auto"/>
        <w:jc w:val="both"/>
        <w:rPr>
          <w:rFonts w:cs="Arial"/>
        </w:rPr>
      </w:pPr>
      <w:r w:rsidRPr="008A4090">
        <w:rPr>
          <w:rFonts w:cs="Arial"/>
        </w:rPr>
        <w:t xml:space="preserve">The </w:t>
      </w:r>
      <w:r w:rsidRPr="008A4090">
        <w:rPr>
          <w:rFonts w:cs="Arial"/>
          <w:i/>
        </w:rPr>
        <w:t xml:space="preserve">Southern Regional Land Use Strategy </w:t>
      </w:r>
      <w:r w:rsidRPr="008A4090">
        <w:rPr>
          <w:rFonts w:cs="Arial"/>
        </w:rPr>
        <w:t>encourages higher residential densities which will encourage use of more sustainable transport modes.</w:t>
      </w:r>
    </w:p>
    <w:p w:rsidR="00366557" w:rsidRDefault="00FC4A92" w:rsidP="00E52A9A">
      <w:pPr>
        <w:pStyle w:val="Heading2"/>
        <w:rPr>
          <w:lang w:val="en-GB"/>
        </w:rPr>
      </w:pPr>
      <w:bookmarkStart w:id="36" w:name="_Toc320197779"/>
      <w:bookmarkStart w:id="37" w:name="_Toc326833291"/>
      <w:r>
        <w:rPr>
          <w:lang w:val="en-GB"/>
        </w:rPr>
        <w:t>Vulnerability to increases in oil prices</w:t>
      </w:r>
      <w:bookmarkEnd w:id="36"/>
      <w:bookmarkEnd w:id="37"/>
    </w:p>
    <w:p w:rsidR="00BC7ECE" w:rsidRDefault="00F621ED" w:rsidP="00BA2AF9">
      <w:pPr>
        <w:autoSpaceDE w:val="0"/>
        <w:autoSpaceDN w:val="0"/>
        <w:adjustRightInd w:val="0"/>
        <w:spacing w:after="120" w:line="240" w:lineRule="auto"/>
        <w:jc w:val="both"/>
      </w:pPr>
      <w:r w:rsidRPr="00F621ED">
        <w:rPr>
          <w:b/>
        </w:rPr>
        <w:t>The problem:</w:t>
      </w:r>
      <w:r>
        <w:t xml:space="preserve"> </w:t>
      </w:r>
      <w:r w:rsidR="00DD1B6D">
        <w:t xml:space="preserve">Tasmania’s </w:t>
      </w:r>
      <w:r w:rsidR="00BC7ECE">
        <w:t xml:space="preserve">transport </w:t>
      </w:r>
      <w:r w:rsidR="00DD1B6D">
        <w:t xml:space="preserve">system is </w:t>
      </w:r>
      <w:r w:rsidR="00BC2810">
        <w:t xml:space="preserve">heavily </w:t>
      </w:r>
      <w:r w:rsidR="00DD1B6D">
        <w:t xml:space="preserve">oil dependent and </w:t>
      </w:r>
      <w:r w:rsidR="00BC2810">
        <w:rPr>
          <w:rFonts w:cs="Arial"/>
        </w:rPr>
        <w:t>exposed</w:t>
      </w:r>
      <w:r w:rsidR="00DD1B6D" w:rsidRPr="00366E3E">
        <w:rPr>
          <w:rFonts w:cs="Arial"/>
        </w:rPr>
        <w:t xml:space="preserve"> to</w:t>
      </w:r>
      <w:r w:rsidR="00DD1B6D">
        <w:rPr>
          <w:rFonts w:cs="Arial"/>
        </w:rPr>
        <w:t xml:space="preserve"> </w:t>
      </w:r>
      <w:r w:rsidR="00BC7ECE">
        <w:rPr>
          <w:rFonts w:cs="Arial"/>
        </w:rPr>
        <w:t>increases in</w:t>
      </w:r>
      <w:r w:rsidR="00DD1B6D" w:rsidRPr="00366E3E">
        <w:rPr>
          <w:rFonts w:cs="Arial"/>
        </w:rPr>
        <w:t xml:space="preserve"> </w:t>
      </w:r>
      <w:r w:rsidR="00BC7ECE">
        <w:rPr>
          <w:rFonts w:cs="Arial"/>
        </w:rPr>
        <w:t>oil prices</w:t>
      </w:r>
      <w:r w:rsidR="00DD1B6D" w:rsidRPr="00366E3E">
        <w:rPr>
          <w:rFonts w:cs="Arial"/>
        </w:rPr>
        <w:t xml:space="preserve"> and disruptions </w:t>
      </w:r>
      <w:r w:rsidR="00BC7ECE">
        <w:rPr>
          <w:rFonts w:cs="Arial"/>
        </w:rPr>
        <w:t>to supply</w:t>
      </w:r>
      <w:r w:rsidR="00DD1B6D">
        <w:t xml:space="preserve">. The </w:t>
      </w:r>
      <w:r w:rsidR="00BC7ECE">
        <w:t xml:space="preserve">modelling undertaken as part of the </w:t>
      </w:r>
      <w:r w:rsidR="00DD1B6D" w:rsidRPr="00DD1B6D">
        <w:rPr>
          <w:bCs/>
          <w:i/>
        </w:rPr>
        <w:t>Tasmanian Oil Price Vulnerability Study</w:t>
      </w:r>
      <w:r w:rsidR="00DD1B6D" w:rsidRPr="00DD1B6D">
        <w:t xml:space="preserve"> indicates that there will be a </w:t>
      </w:r>
      <w:r w:rsidR="00110DBF" w:rsidRPr="00DD1B6D">
        <w:t xml:space="preserve">long term decline in all fuel-intensive transport activities in Tasmania, including </w:t>
      </w:r>
      <w:r w:rsidR="00DD1B6D">
        <w:t>p</w:t>
      </w:r>
      <w:r w:rsidR="00110DBF" w:rsidRPr="00DD1B6D">
        <w:t xml:space="preserve">rivate </w:t>
      </w:r>
      <w:r w:rsidR="00BC7ECE">
        <w:t>transport because of higher prices.</w:t>
      </w:r>
    </w:p>
    <w:p w:rsidR="00BA2AF9" w:rsidRDefault="00BC7ECE" w:rsidP="00BA2AF9">
      <w:pPr>
        <w:autoSpaceDE w:val="0"/>
        <w:autoSpaceDN w:val="0"/>
        <w:adjustRightInd w:val="0"/>
        <w:spacing w:after="120" w:line="240" w:lineRule="auto"/>
        <w:jc w:val="both"/>
        <w:rPr>
          <w:rFonts w:cs="Arial"/>
        </w:rPr>
      </w:pPr>
      <w:r>
        <w:t>The</w:t>
      </w:r>
      <w:r w:rsidR="00BC4021" w:rsidRPr="00BC4021">
        <w:rPr>
          <w:i/>
        </w:rPr>
        <w:t xml:space="preserve"> </w:t>
      </w:r>
      <w:r>
        <w:t xml:space="preserve">theory behind this is that higher prices will lead to people either driving less or switching to other modes which have lower transport costs.  </w:t>
      </w:r>
      <w:bookmarkStart w:id="38" w:name="OLE_LINK13"/>
      <w:bookmarkStart w:id="39" w:name="OLE_LINK14"/>
      <w:r w:rsidR="00366557" w:rsidRPr="00366E3E">
        <w:rPr>
          <w:rFonts w:cs="Arial"/>
        </w:rPr>
        <w:t xml:space="preserve">Where people </w:t>
      </w:r>
      <w:r>
        <w:rPr>
          <w:rFonts w:cs="Arial"/>
        </w:rPr>
        <w:t xml:space="preserve">do not </w:t>
      </w:r>
      <w:r w:rsidR="00366557" w:rsidRPr="00366E3E">
        <w:rPr>
          <w:rFonts w:cs="Arial"/>
        </w:rPr>
        <w:t>have</w:t>
      </w:r>
      <w:r>
        <w:rPr>
          <w:rFonts w:cs="Arial"/>
        </w:rPr>
        <w:t xml:space="preserve"> reliable </w:t>
      </w:r>
      <w:r w:rsidR="00366557" w:rsidRPr="00366E3E">
        <w:rPr>
          <w:rFonts w:cs="Arial"/>
        </w:rPr>
        <w:t>access to public transport</w:t>
      </w:r>
      <w:r w:rsidR="00BA2AF9">
        <w:rPr>
          <w:rFonts w:cs="Arial"/>
        </w:rPr>
        <w:t xml:space="preserve"> and are therefore reliant on the car</w:t>
      </w:r>
      <w:r w:rsidR="00366557" w:rsidRPr="00366E3E">
        <w:rPr>
          <w:rFonts w:cs="Arial"/>
        </w:rPr>
        <w:t>, their</w:t>
      </w:r>
      <w:r>
        <w:rPr>
          <w:rFonts w:cs="Arial"/>
        </w:rPr>
        <w:t xml:space="preserve"> transport costs will increase, this is particularly the case </w:t>
      </w:r>
      <w:r w:rsidR="00BA2AF9">
        <w:rPr>
          <w:rFonts w:cs="Arial"/>
        </w:rPr>
        <w:t xml:space="preserve">for people living </w:t>
      </w:r>
      <w:r w:rsidR="008708B6">
        <w:rPr>
          <w:rFonts w:cs="Arial"/>
        </w:rPr>
        <w:t xml:space="preserve">in outer </w:t>
      </w:r>
      <w:r>
        <w:rPr>
          <w:rFonts w:cs="Arial"/>
        </w:rPr>
        <w:t xml:space="preserve">urban and rural areas. </w:t>
      </w:r>
      <w:bookmarkEnd w:id="38"/>
      <w:bookmarkEnd w:id="39"/>
    </w:p>
    <w:p w:rsidR="006F0E95" w:rsidRDefault="00F621ED">
      <w:pPr>
        <w:spacing w:after="120" w:line="240" w:lineRule="auto"/>
        <w:jc w:val="both"/>
        <w:rPr>
          <w:b/>
        </w:rPr>
      </w:pPr>
      <w:r w:rsidRPr="00726565">
        <w:rPr>
          <w:b/>
        </w:rPr>
        <w:t>The cause:</w:t>
      </w:r>
      <w:r w:rsidR="00612A8D" w:rsidRPr="00726565">
        <w:rPr>
          <w:b/>
        </w:rPr>
        <w:t xml:space="preserve"> </w:t>
      </w:r>
      <w:r w:rsidR="008A4090" w:rsidRPr="008A4090">
        <w:t>The</w:t>
      </w:r>
      <w:r w:rsidR="008A4090">
        <w:rPr>
          <w:b/>
        </w:rPr>
        <w:t xml:space="preserve"> </w:t>
      </w:r>
      <w:bookmarkStart w:id="40" w:name="OLE_LINK5"/>
      <w:bookmarkStart w:id="41" w:name="OLE_LINK6"/>
      <w:r w:rsidR="008A4090" w:rsidRPr="00DD1B6D">
        <w:rPr>
          <w:bCs/>
          <w:i/>
        </w:rPr>
        <w:t>Tasmanian Oil Price Vulnerability Study</w:t>
      </w:r>
      <w:r w:rsidR="008A4090">
        <w:t xml:space="preserve"> </w:t>
      </w:r>
      <w:bookmarkEnd w:id="40"/>
      <w:bookmarkEnd w:id="41"/>
      <w:r w:rsidR="008A4090">
        <w:t>indicates that t</w:t>
      </w:r>
      <w:r w:rsidR="00726565" w:rsidRPr="00726565">
        <w:t xml:space="preserve">here is every reason to expect continuing, and possibly increasing, </w:t>
      </w:r>
      <w:r w:rsidR="00726565">
        <w:t xml:space="preserve">oil </w:t>
      </w:r>
      <w:r w:rsidR="00726565" w:rsidRPr="00726565">
        <w:t xml:space="preserve">price volatility </w:t>
      </w:r>
      <w:r w:rsidR="00726565">
        <w:rPr>
          <w:rFonts w:cs="Arial"/>
        </w:rPr>
        <w:t xml:space="preserve">into the future as a result of </w:t>
      </w:r>
      <w:r w:rsidR="00612A8D">
        <w:rPr>
          <w:rFonts w:cs="Arial"/>
        </w:rPr>
        <w:t>oil producing countries having a monopoly over the supply of oil</w:t>
      </w:r>
      <w:r w:rsidR="009725C7" w:rsidRPr="009725C7">
        <w:rPr>
          <w:rFonts w:cs="Arial"/>
        </w:rPr>
        <w:t xml:space="preserve"> </w:t>
      </w:r>
      <w:r w:rsidR="009725C7">
        <w:rPr>
          <w:rFonts w:cs="Arial"/>
        </w:rPr>
        <w:t xml:space="preserve">and an increasing demand especially from India and China. Short-term supply constraints can lead to volatility in prices as a result of major accidents, political turmoil and </w:t>
      </w:r>
      <w:r w:rsidR="009725C7" w:rsidRPr="00E07159">
        <w:rPr>
          <w:rFonts w:cs="Arial"/>
        </w:rPr>
        <w:t>cyclical peaks</w:t>
      </w:r>
      <w:r w:rsidR="009725C7">
        <w:rPr>
          <w:rFonts w:cs="Arial"/>
        </w:rPr>
        <w:t xml:space="preserve">. In the longer term, peak oil will also </w:t>
      </w:r>
      <w:r w:rsidR="00891C0C">
        <w:rPr>
          <w:rFonts w:cs="Arial"/>
        </w:rPr>
        <w:t xml:space="preserve">impact on </w:t>
      </w:r>
      <w:r w:rsidR="009725C7">
        <w:rPr>
          <w:rFonts w:cs="Arial"/>
        </w:rPr>
        <w:t>price.</w:t>
      </w:r>
    </w:p>
    <w:p w:rsidR="0002530B" w:rsidRPr="001A3D72" w:rsidRDefault="00205EEE" w:rsidP="001A3D72">
      <w:pPr>
        <w:autoSpaceDE w:val="0"/>
        <w:autoSpaceDN w:val="0"/>
        <w:adjustRightInd w:val="0"/>
        <w:spacing w:after="120" w:line="240" w:lineRule="auto"/>
        <w:jc w:val="both"/>
        <w:rPr>
          <w:rFonts w:cs="Arial"/>
        </w:rPr>
      </w:pPr>
      <w:bookmarkStart w:id="42" w:name="OLE_LINK31"/>
      <w:bookmarkStart w:id="43" w:name="OLE_LINK32"/>
      <w:r w:rsidRPr="001A3D72">
        <w:rPr>
          <w:rFonts w:cs="Arial"/>
          <w:b/>
        </w:rPr>
        <w:t>What is occurring</w:t>
      </w:r>
      <w:r w:rsidR="009725C7" w:rsidRPr="001A3D72">
        <w:rPr>
          <w:rFonts w:cs="Arial"/>
          <w:b/>
        </w:rPr>
        <w:t>:</w:t>
      </w:r>
      <w:r w:rsidR="009725C7" w:rsidRPr="001A3D72">
        <w:rPr>
          <w:rFonts w:cs="Arial"/>
        </w:rPr>
        <w:t xml:space="preserve"> </w:t>
      </w:r>
      <w:bookmarkEnd w:id="42"/>
      <w:bookmarkEnd w:id="43"/>
      <w:r w:rsidR="0002530B" w:rsidRPr="001A3D72">
        <w:rPr>
          <w:rFonts w:cs="Arial"/>
        </w:rPr>
        <w:t xml:space="preserve">The State Government has </w:t>
      </w:r>
      <w:r w:rsidR="001A3D72">
        <w:rPr>
          <w:rFonts w:cs="Arial"/>
        </w:rPr>
        <w:t xml:space="preserve">already </w:t>
      </w:r>
      <w:r w:rsidR="0002530B" w:rsidRPr="001A3D72">
        <w:rPr>
          <w:rFonts w:cs="Arial"/>
        </w:rPr>
        <w:t xml:space="preserve">invested in a </w:t>
      </w:r>
      <w:r w:rsidR="0002530B" w:rsidRPr="001A3D72">
        <w:rPr>
          <w:bCs/>
          <w:color w:val="000000"/>
        </w:rPr>
        <w:t>number of actions</w:t>
      </w:r>
      <w:r w:rsidR="001A3D72">
        <w:rPr>
          <w:bCs/>
          <w:color w:val="000000"/>
        </w:rPr>
        <w:t xml:space="preserve">, which will help to reduce Tasmania’s vulnerability to oil price increases. Relevant passenger transport measures which </w:t>
      </w:r>
      <w:r w:rsidR="0002530B" w:rsidRPr="001A3D72">
        <w:rPr>
          <w:bCs/>
          <w:color w:val="000000"/>
        </w:rPr>
        <w:t xml:space="preserve">support the </w:t>
      </w:r>
      <w:r w:rsidR="0002530B" w:rsidRPr="001A3D72">
        <w:rPr>
          <w:bCs/>
          <w:i/>
          <w:color w:val="000000"/>
        </w:rPr>
        <w:t>Tasmanian Urban Passenger Transport Framework</w:t>
      </w:r>
      <w:r w:rsidR="001A3D72">
        <w:rPr>
          <w:bCs/>
          <w:color w:val="000000"/>
        </w:rPr>
        <w:t xml:space="preserve"> include</w:t>
      </w:r>
      <w:r w:rsidR="0002530B" w:rsidRPr="001A3D72">
        <w:rPr>
          <w:bCs/>
          <w:color w:val="000000"/>
        </w:rPr>
        <w:t>:</w:t>
      </w:r>
      <w:r w:rsidR="0002530B" w:rsidRPr="001A3D72">
        <w:rPr>
          <w:rFonts w:cs="Arial"/>
        </w:rPr>
        <w:t xml:space="preserve"> </w:t>
      </w:r>
    </w:p>
    <w:p w:rsidR="0002530B" w:rsidRPr="001A3D72" w:rsidRDefault="0002530B" w:rsidP="00B00E3D">
      <w:pPr>
        <w:pStyle w:val="ListParagraph"/>
        <w:numPr>
          <w:ilvl w:val="0"/>
          <w:numId w:val="19"/>
        </w:numPr>
        <w:spacing w:after="120" w:line="240" w:lineRule="auto"/>
        <w:ind w:left="714" w:hanging="357"/>
        <w:contextualSpacing w:val="0"/>
      </w:pPr>
      <w:r w:rsidRPr="001A3D72">
        <w:t>Improve</w:t>
      </w:r>
      <w:r w:rsidR="001A3D72">
        <w:t>d urban fringe bus services.</w:t>
      </w:r>
    </w:p>
    <w:p w:rsidR="0002530B" w:rsidRPr="001A3D72" w:rsidRDefault="0002530B" w:rsidP="00B00E3D">
      <w:pPr>
        <w:pStyle w:val="ListParagraph"/>
        <w:numPr>
          <w:ilvl w:val="0"/>
          <w:numId w:val="19"/>
        </w:numPr>
        <w:spacing w:after="120" w:line="240" w:lineRule="auto"/>
        <w:ind w:left="714" w:hanging="357"/>
        <w:contextualSpacing w:val="0"/>
      </w:pPr>
      <w:r w:rsidRPr="001A3D72">
        <w:t>Investment in urba</w:t>
      </w:r>
      <w:r w:rsidR="001A3D72">
        <w:t>n fringe off-bus infrastructure.</w:t>
      </w:r>
    </w:p>
    <w:p w:rsidR="0002530B" w:rsidRPr="001A3D72" w:rsidRDefault="0002530B" w:rsidP="00B00E3D">
      <w:pPr>
        <w:pStyle w:val="ListParagraph"/>
        <w:numPr>
          <w:ilvl w:val="0"/>
          <w:numId w:val="19"/>
        </w:numPr>
        <w:spacing w:after="120" w:line="240" w:lineRule="auto"/>
        <w:ind w:left="714" w:hanging="357"/>
        <w:contextualSpacing w:val="0"/>
      </w:pPr>
      <w:r w:rsidRPr="001A3D72">
        <w:t>Appointment of an Active Transport Officer and roll-out of the Cycling for Transport Local Infr</w:t>
      </w:r>
      <w:r w:rsidR="001A3D72">
        <w:t>astructure Development Fund.</w:t>
      </w:r>
    </w:p>
    <w:p w:rsidR="0002530B" w:rsidRPr="00B00E3D" w:rsidRDefault="0002530B" w:rsidP="00B00E3D">
      <w:pPr>
        <w:pStyle w:val="ListParagraph"/>
        <w:numPr>
          <w:ilvl w:val="0"/>
          <w:numId w:val="19"/>
        </w:numPr>
        <w:spacing w:after="120" w:line="240" w:lineRule="auto"/>
        <w:ind w:left="714" w:hanging="357"/>
        <w:contextualSpacing w:val="0"/>
        <w:rPr>
          <w:rFonts w:cs="Arial"/>
        </w:rPr>
      </w:pPr>
      <w:r w:rsidRPr="001A3D72">
        <w:t>Development of a pilot Travel Behaviour Change Program within the State Government.</w:t>
      </w:r>
    </w:p>
    <w:p w:rsidR="00797A33" w:rsidRDefault="001A3D72" w:rsidP="001A3D72">
      <w:pPr>
        <w:autoSpaceDE w:val="0"/>
        <w:autoSpaceDN w:val="0"/>
        <w:adjustRightInd w:val="0"/>
        <w:spacing w:after="120" w:line="240" w:lineRule="auto"/>
        <w:jc w:val="both"/>
        <w:rPr>
          <w:bCs/>
        </w:rPr>
      </w:pPr>
      <w:r w:rsidRPr="001A3D72">
        <w:rPr>
          <w:rFonts w:cs="Arial"/>
          <w:color w:val="000000"/>
        </w:rPr>
        <w:t xml:space="preserve">The </w:t>
      </w:r>
      <w:r w:rsidRPr="00DD1B6D">
        <w:rPr>
          <w:bCs/>
          <w:i/>
        </w:rPr>
        <w:t>Tasmanian Oil Price Vulnerability Study</w:t>
      </w:r>
      <w:r>
        <w:rPr>
          <w:bCs/>
          <w:i/>
        </w:rPr>
        <w:t xml:space="preserve"> </w:t>
      </w:r>
      <w:r w:rsidRPr="001A3D72">
        <w:rPr>
          <w:bCs/>
        </w:rPr>
        <w:t>contains actions</w:t>
      </w:r>
      <w:r w:rsidR="000709F9">
        <w:rPr>
          <w:bCs/>
        </w:rPr>
        <w:t xml:space="preserve"> which will also mitigate</w:t>
      </w:r>
      <w:r>
        <w:rPr>
          <w:bCs/>
        </w:rPr>
        <w:t xml:space="preserve"> against oil price</w:t>
      </w:r>
      <w:r w:rsidR="000709F9">
        <w:rPr>
          <w:bCs/>
        </w:rPr>
        <w:t xml:space="preserve"> vulnerability</w:t>
      </w:r>
      <w:r>
        <w:rPr>
          <w:bCs/>
        </w:rPr>
        <w:t>. Relevant passenger transport actions include:</w:t>
      </w:r>
    </w:p>
    <w:p w:rsidR="001A3D72" w:rsidRDefault="001A3D72" w:rsidP="001A3D72">
      <w:pPr>
        <w:pStyle w:val="ListParagraph"/>
        <w:numPr>
          <w:ilvl w:val="0"/>
          <w:numId w:val="18"/>
        </w:numPr>
        <w:autoSpaceDE w:val="0"/>
        <w:autoSpaceDN w:val="0"/>
        <w:adjustRightInd w:val="0"/>
        <w:spacing w:after="120" w:line="240" w:lineRule="auto"/>
        <w:contextualSpacing w:val="0"/>
        <w:jc w:val="both"/>
        <w:rPr>
          <w:rFonts w:cs="Arial"/>
          <w:color w:val="000000"/>
        </w:rPr>
      </w:pPr>
      <w:r>
        <w:rPr>
          <w:rFonts w:cs="Arial"/>
          <w:color w:val="000000"/>
        </w:rPr>
        <w:lastRenderedPageBreak/>
        <w:t>Broadening the Resource Management Planning System to respond to climate change and oil price vulnerability.</w:t>
      </w:r>
    </w:p>
    <w:p w:rsidR="001A3D72" w:rsidRDefault="001A3D72" w:rsidP="001A3D72">
      <w:pPr>
        <w:pStyle w:val="ListParagraph"/>
        <w:numPr>
          <w:ilvl w:val="0"/>
          <w:numId w:val="18"/>
        </w:numPr>
        <w:autoSpaceDE w:val="0"/>
        <w:autoSpaceDN w:val="0"/>
        <w:adjustRightInd w:val="0"/>
        <w:spacing w:after="120" w:line="240" w:lineRule="auto"/>
        <w:contextualSpacing w:val="0"/>
        <w:jc w:val="both"/>
        <w:rPr>
          <w:rFonts w:cs="Arial"/>
          <w:color w:val="000000"/>
        </w:rPr>
      </w:pPr>
      <w:r>
        <w:rPr>
          <w:rFonts w:cs="Arial"/>
          <w:color w:val="000000"/>
        </w:rPr>
        <w:t>Adopting fuel efficiency standards and diversifying alternative fuel conversion for passenger transport.</w:t>
      </w:r>
    </w:p>
    <w:p w:rsidR="001A3D72" w:rsidRDefault="001A3D72" w:rsidP="001A3D72">
      <w:pPr>
        <w:pStyle w:val="ListParagraph"/>
        <w:numPr>
          <w:ilvl w:val="0"/>
          <w:numId w:val="18"/>
        </w:numPr>
        <w:autoSpaceDE w:val="0"/>
        <w:autoSpaceDN w:val="0"/>
        <w:adjustRightInd w:val="0"/>
        <w:spacing w:after="120" w:line="240" w:lineRule="auto"/>
        <w:contextualSpacing w:val="0"/>
        <w:jc w:val="both"/>
        <w:rPr>
          <w:rFonts w:cs="Arial"/>
          <w:color w:val="000000"/>
        </w:rPr>
      </w:pPr>
      <w:r>
        <w:rPr>
          <w:rFonts w:cs="Arial"/>
          <w:color w:val="000000"/>
        </w:rPr>
        <w:t>Increasing the modal shift from cars to public transport.</w:t>
      </w:r>
    </w:p>
    <w:p w:rsidR="0002530B" w:rsidRDefault="001A3D72" w:rsidP="001A3D72">
      <w:pPr>
        <w:pStyle w:val="ListParagraph"/>
        <w:numPr>
          <w:ilvl w:val="0"/>
          <w:numId w:val="18"/>
        </w:numPr>
        <w:autoSpaceDE w:val="0"/>
        <w:autoSpaceDN w:val="0"/>
        <w:adjustRightInd w:val="0"/>
        <w:spacing w:after="120" w:line="240" w:lineRule="auto"/>
        <w:contextualSpacing w:val="0"/>
        <w:jc w:val="both"/>
        <w:rPr>
          <w:rFonts w:cs="Arial"/>
          <w:color w:val="000000"/>
        </w:rPr>
      </w:pPr>
      <w:r>
        <w:rPr>
          <w:rFonts w:cs="Arial"/>
          <w:color w:val="000000"/>
        </w:rPr>
        <w:t>Increasing active transport programs.</w:t>
      </w:r>
    </w:p>
    <w:p w:rsidR="005E6C98" w:rsidRPr="005E6C98" w:rsidRDefault="005E6C98" w:rsidP="005E6C98">
      <w:pPr>
        <w:autoSpaceDE w:val="0"/>
        <w:autoSpaceDN w:val="0"/>
        <w:adjustRightInd w:val="0"/>
        <w:spacing w:after="120" w:line="240" w:lineRule="auto"/>
        <w:jc w:val="both"/>
        <w:rPr>
          <w:rFonts w:cs="Arial"/>
          <w:color w:val="000000"/>
        </w:rPr>
      </w:pPr>
      <w:r>
        <w:rPr>
          <w:rFonts w:cs="Arial"/>
          <w:color w:val="000000"/>
        </w:rPr>
        <w:t xml:space="preserve">The Hobart City Council has developed a Sustainable Transport Strategy (Sustainable </w:t>
      </w:r>
      <w:r w:rsidRPr="005E6C98">
        <w:rPr>
          <w:rFonts w:cs="Arial"/>
          <w:i/>
          <w:color w:val="000000"/>
        </w:rPr>
        <w:t>Transport Strategy 2009-14</w:t>
      </w:r>
      <w:r>
        <w:rPr>
          <w:rFonts w:cs="Arial"/>
          <w:color w:val="000000"/>
        </w:rPr>
        <w:t>) which contains actions to reduce emissions from transport.</w:t>
      </w:r>
    </w:p>
    <w:p w:rsidR="002D4B60" w:rsidRDefault="005C6ACA" w:rsidP="00E52A9A">
      <w:pPr>
        <w:pStyle w:val="Heading2"/>
      </w:pPr>
      <w:bookmarkStart w:id="44" w:name="_Toc320197780"/>
      <w:bookmarkStart w:id="45" w:name="_Toc326833292"/>
      <w:r>
        <w:t>Transport is a major contributor to greenhouse gas emissions</w:t>
      </w:r>
      <w:bookmarkEnd w:id="44"/>
      <w:bookmarkEnd w:id="45"/>
    </w:p>
    <w:p w:rsidR="006F0E95" w:rsidRPr="008420DB" w:rsidRDefault="00FC4A92">
      <w:pPr>
        <w:autoSpaceDE w:val="0"/>
        <w:autoSpaceDN w:val="0"/>
        <w:adjustRightInd w:val="0"/>
        <w:spacing w:after="120" w:line="240" w:lineRule="auto"/>
        <w:jc w:val="both"/>
        <w:rPr>
          <w:rFonts w:cs="Arial"/>
          <w:color w:val="000000"/>
        </w:rPr>
      </w:pPr>
      <w:r w:rsidRPr="00F621ED">
        <w:rPr>
          <w:b/>
        </w:rPr>
        <w:t>The problem:</w:t>
      </w:r>
      <w:r>
        <w:t xml:space="preserve"> </w:t>
      </w:r>
      <w:r w:rsidR="00D86857" w:rsidRPr="00366E3E">
        <w:rPr>
          <w:rFonts w:cs="Arial"/>
          <w:color w:val="000000"/>
        </w:rPr>
        <w:t>Tasmania has a target of a reduction in greenhouse gas emissions o</w:t>
      </w:r>
      <w:r w:rsidR="00D86857">
        <w:rPr>
          <w:rFonts w:cs="Arial"/>
          <w:color w:val="000000"/>
        </w:rPr>
        <w:t xml:space="preserve">f 60 </w:t>
      </w:r>
      <w:r w:rsidR="0036420A">
        <w:rPr>
          <w:rFonts w:cs="Arial"/>
          <w:color w:val="000000"/>
        </w:rPr>
        <w:t>per cent</w:t>
      </w:r>
      <w:r w:rsidR="00D86857">
        <w:rPr>
          <w:rFonts w:cs="Arial"/>
          <w:color w:val="000000"/>
        </w:rPr>
        <w:t xml:space="preserve"> below 1990 </w:t>
      </w:r>
      <w:r w:rsidR="008708B6">
        <w:rPr>
          <w:rFonts w:cs="Arial"/>
          <w:color w:val="000000"/>
        </w:rPr>
        <w:t xml:space="preserve">levels </w:t>
      </w:r>
      <w:r w:rsidR="00D86857">
        <w:rPr>
          <w:rFonts w:cs="Arial"/>
          <w:color w:val="000000"/>
        </w:rPr>
        <w:t>by 2050</w:t>
      </w:r>
      <w:r w:rsidR="008420DB">
        <w:rPr>
          <w:rFonts w:cs="Arial"/>
          <w:color w:val="000000"/>
        </w:rPr>
        <w:t xml:space="preserve"> </w:t>
      </w:r>
      <w:r w:rsidR="008420DB" w:rsidRPr="008420DB">
        <w:rPr>
          <w:rFonts w:cs="Arial"/>
          <w:color w:val="000000"/>
        </w:rPr>
        <w:t>(</w:t>
      </w:r>
      <w:r w:rsidR="008420DB" w:rsidRPr="008420DB">
        <w:rPr>
          <w:iCs/>
        </w:rPr>
        <w:t>Climate Change (State Action) Act 2008)</w:t>
      </w:r>
      <w:r w:rsidR="00D86857" w:rsidRPr="008420DB">
        <w:rPr>
          <w:rFonts w:cs="Arial"/>
          <w:color w:val="000000"/>
        </w:rPr>
        <w:t>.</w:t>
      </w:r>
      <w:r w:rsidR="00D86857">
        <w:rPr>
          <w:rFonts w:cs="Arial"/>
          <w:color w:val="000000"/>
        </w:rPr>
        <w:t xml:space="preserve"> </w:t>
      </w:r>
      <w:r w:rsidR="004C4B2A">
        <w:rPr>
          <w:rFonts w:cs="Arial"/>
          <w:color w:val="000000"/>
        </w:rPr>
        <w:t xml:space="preserve">Transport is the second largest producer of greenhouse gas emissions in Tasmania, producing </w:t>
      </w:r>
      <w:r w:rsidR="00D86857" w:rsidRPr="00366E3E">
        <w:rPr>
          <w:rFonts w:cs="Arial"/>
          <w:color w:val="000000"/>
        </w:rPr>
        <w:t xml:space="preserve">21 </w:t>
      </w:r>
      <w:r w:rsidR="0036420A">
        <w:rPr>
          <w:rFonts w:cs="Arial"/>
          <w:color w:val="000000"/>
        </w:rPr>
        <w:t>per cent</w:t>
      </w:r>
      <w:r w:rsidR="00D86857" w:rsidRPr="00366E3E">
        <w:rPr>
          <w:rFonts w:cs="Arial"/>
          <w:color w:val="000000"/>
        </w:rPr>
        <w:t xml:space="preserve"> of </w:t>
      </w:r>
      <w:r w:rsidR="009E7032">
        <w:rPr>
          <w:rFonts w:cs="Arial"/>
          <w:color w:val="000000"/>
        </w:rPr>
        <w:t>all of Tasmania</w:t>
      </w:r>
      <w:r w:rsidR="004C4B2A">
        <w:rPr>
          <w:rFonts w:cs="Arial"/>
          <w:color w:val="000000"/>
        </w:rPr>
        <w:t xml:space="preserve">’s </w:t>
      </w:r>
      <w:r w:rsidR="00D86857" w:rsidRPr="00366E3E">
        <w:rPr>
          <w:rFonts w:cs="Arial"/>
          <w:color w:val="000000"/>
        </w:rPr>
        <w:t xml:space="preserve">emissions </w:t>
      </w:r>
      <w:r>
        <w:rPr>
          <w:rFonts w:cs="Arial"/>
          <w:color w:val="000000"/>
        </w:rPr>
        <w:t>in 2007</w:t>
      </w:r>
      <w:r w:rsidR="004C4B2A">
        <w:rPr>
          <w:rFonts w:cs="Arial"/>
          <w:color w:val="000000"/>
        </w:rPr>
        <w:t xml:space="preserve">. </w:t>
      </w:r>
      <w:r w:rsidR="00D86857" w:rsidRPr="00366E3E">
        <w:rPr>
          <w:rFonts w:cs="Arial"/>
          <w:color w:val="000000"/>
        </w:rPr>
        <w:t xml:space="preserve">92 </w:t>
      </w:r>
      <w:r w:rsidR="0036420A">
        <w:rPr>
          <w:rFonts w:cs="Arial"/>
          <w:color w:val="000000"/>
        </w:rPr>
        <w:t>per cent</w:t>
      </w:r>
      <w:r w:rsidR="00D86857" w:rsidRPr="00366E3E">
        <w:rPr>
          <w:rFonts w:cs="Arial"/>
          <w:color w:val="000000"/>
        </w:rPr>
        <w:t xml:space="preserve"> of </w:t>
      </w:r>
      <w:r w:rsidR="004C4B2A">
        <w:rPr>
          <w:rFonts w:cs="Arial"/>
          <w:color w:val="000000"/>
        </w:rPr>
        <w:t xml:space="preserve">transport emissions </w:t>
      </w:r>
      <w:r w:rsidR="004C4B2A" w:rsidRPr="00366E3E">
        <w:rPr>
          <w:rFonts w:cs="Arial"/>
          <w:color w:val="000000"/>
        </w:rPr>
        <w:t>come</w:t>
      </w:r>
      <w:r w:rsidR="00D86857" w:rsidRPr="00366E3E">
        <w:rPr>
          <w:rFonts w:cs="Arial"/>
          <w:color w:val="000000"/>
        </w:rPr>
        <w:t xml:space="preserve"> from road transport, with cars being the </w:t>
      </w:r>
      <w:r>
        <w:rPr>
          <w:rFonts w:cs="Arial"/>
          <w:color w:val="000000"/>
        </w:rPr>
        <w:t>largest contributor</w:t>
      </w:r>
      <w:r w:rsidR="008420DB">
        <w:rPr>
          <w:rFonts w:cs="Arial"/>
          <w:color w:val="000000"/>
        </w:rPr>
        <w:t xml:space="preserve"> </w:t>
      </w:r>
      <w:r w:rsidR="008420DB" w:rsidRPr="008420DB">
        <w:rPr>
          <w:rFonts w:cs="Arial"/>
          <w:color w:val="000000"/>
        </w:rPr>
        <w:t>(</w:t>
      </w:r>
      <w:r w:rsidR="008420DB" w:rsidRPr="008420DB">
        <w:t>Australian Greenhouse Emissions Inventory System)</w:t>
      </w:r>
      <w:r w:rsidRPr="008420DB">
        <w:rPr>
          <w:rFonts w:cs="Arial"/>
          <w:color w:val="000000"/>
        </w:rPr>
        <w:t>.</w:t>
      </w:r>
    </w:p>
    <w:p w:rsidR="006F0E95" w:rsidRDefault="00FC4A92">
      <w:pPr>
        <w:autoSpaceDE w:val="0"/>
        <w:autoSpaceDN w:val="0"/>
        <w:adjustRightInd w:val="0"/>
        <w:spacing w:after="120" w:line="240" w:lineRule="auto"/>
        <w:jc w:val="both"/>
        <w:rPr>
          <w:rFonts w:cs="Arial"/>
        </w:rPr>
      </w:pPr>
      <w:r w:rsidRPr="0078440B">
        <w:rPr>
          <w:rFonts w:cs="Arial"/>
          <w:b/>
        </w:rPr>
        <w:t>The cause:</w:t>
      </w:r>
      <w:r>
        <w:rPr>
          <w:rFonts w:cs="Arial"/>
          <w:b/>
        </w:rPr>
        <w:t xml:space="preserve"> </w:t>
      </w:r>
      <w:r w:rsidRPr="00FC4A92">
        <w:rPr>
          <w:rFonts w:cs="Arial"/>
        </w:rPr>
        <w:t xml:space="preserve">Cars </w:t>
      </w:r>
      <w:r>
        <w:rPr>
          <w:rFonts w:cs="Arial"/>
        </w:rPr>
        <w:t>are a major contributor to transport greenhouse gas emissions in Tasmania</w:t>
      </w:r>
      <w:r w:rsidR="00726565">
        <w:rPr>
          <w:rFonts w:cs="Arial"/>
        </w:rPr>
        <w:t>,</w:t>
      </w:r>
      <w:r>
        <w:rPr>
          <w:rFonts w:cs="Arial"/>
        </w:rPr>
        <w:t xml:space="preserve"> largely as a result of</w:t>
      </w:r>
      <w:r w:rsidR="005C6ACA">
        <w:rPr>
          <w:rFonts w:cs="Arial"/>
        </w:rPr>
        <w:t>:</w:t>
      </w:r>
    </w:p>
    <w:p w:rsidR="009E7032" w:rsidRDefault="009E7032" w:rsidP="009E7032">
      <w:pPr>
        <w:pStyle w:val="ListParagraph"/>
        <w:numPr>
          <w:ilvl w:val="0"/>
          <w:numId w:val="7"/>
        </w:numPr>
        <w:autoSpaceDE w:val="0"/>
        <w:autoSpaceDN w:val="0"/>
        <w:adjustRightInd w:val="0"/>
        <w:spacing w:after="120" w:line="240" w:lineRule="auto"/>
        <w:ind w:left="777" w:hanging="357"/>
        <w:contextualSpacing w:val="0"/>
        <w:jc w:val="both"/>
        <w:rPr>
          <w:rFonts w:cs="Arial"/>
        </w:rPr>
      </w:pPr>
      <w:r w:rsidRPr="005C6ACA">
        <w:rPr>
          <w:rFonts w:cs="Arial"/>
        </w:rPr>
        <w:t>High level</w:t>
      </w:r>
      <w:r>
        <w:rPr>
          <w:rFonts w:cs="Arial"/>
        </w:rPr>
        <w:t>s</w:t>
      </w:r>
      <w:r w:rsidRPr="005C6ACA">
        <w:rPr>
          <w:rFonts w:cs="Arial"/>
        </w:rPr>
        <w:t xml:space="preserve"> of car </w:t>
      </w:r>
      <w:r>
        <w:rPr>
          <w:rFonts w:cs="Arial"/>
        </w:rPr>
        <w:t xml:space="preserve">ownership and car </w:t>
      </w:r>
      <w:r w:rsidRPr="005C6ACA">
        <w:rPr>
          <w:rFonts w:cs="Arial"/>
        </w:rPr>
        <w:t>dependency</w:t>
      </w:r>
      <w:r>
        <w:rPr>
          <w:rFonts w:cs="Arial"/>
        </w:rPr>
        <w:t>.</w:t>
      </w:r>
    </w:p>
    <w:p w:rsidR="005C6ACA" w:rsidRDefault="005C6ACA" w:rsidP="009E7032">
      <w:pPr>
        <w:pStyle w:val="ListParagraph"/>
        <w:numPr>
          <w:ilvl w:val="0"/>
          <w:numId w:val="7"/>
        </w:numPr>
        <w:autoSpaceDE w:val="0"/>
        <w:autoSpaceDN w:val="0"/>
        <w:adjustRightInd w:val="0"/>
        <w:spacing w:after="120" w:line="240" w:lineRule="auto"/>
        <w:ind w:left="777" w:hanging="357"/>
        <w:contextualSpacing w:val="0"/>
        <w:jc w:val="both"/>
        <w:rPr>
          <w:rFonts w:cs="Arial"/>
        </w:rPr>
      </w:pPr>
      <w:r w:rsidRPr="005C6ACA">
        <w:rPr>
          <w:rFonts w:cs="Arial"/>
        </w:rPr>
        <w:t>Low</w:t>
      </w:r>
      <w:r>
        <w:rPr>
          <w:rFonts w:cs="Arial"/>
        </w:rPr>
        <w:t xml:space="preserve"> public transport use.</w:t>
      </w:r>
    </w:p>
    <w:p w:rsidR="00FC4A92" w:rsidRPr="00447BCC" w:rsidRDefault="005C6ACA" w:rsidP="009E7032">
      <w:pPr>
        <w:pStyle w:val="ListParagraph"/>
        <w:numPr>
          <w:ilvl w:val="0"/>
          <w:numId w:val="7"/>
        </w:numPr>
        <w:autoSpaceDE w:val="0"/>
        <w:autoSpaceDN w:val="0"/>
        <w:adjustRightInd w:val="0"/>
        <w:spacing w:after="120" w:line="240" w:lineRule="auto"/>
        <w:ind w:left="777" w:hanging="357"/>
        <w:contextualSpacing w:val="0"/>
        <w:jc w:val="both"/>
        <w:rPr>
          <w:rFonts w:cs="Arial"/>
        </w:rPr>
      </w:pPr>
      <w:r>
        <w:rPr>
          <w:rFonts w:cs="Arial"/>
        </w:rPr>
        <w:t xml:space="preserve">Oldest car fleet in Australia, meaning less fuel efficient vehicles. </w:t>
      </w:r>
    </w:p>
    <w:p w:rsidR="006F0E95" w:rsidRDefault="009E7032">
      <w:pPr>
        <w:autoSpaceDE w:val="0"/>
        <w:autoSpaceDN w:val="0"/>
        <w:adjustRightInd w:val="0"/>
        <w:spacing w:after="120" w:line="240" w:lineRule="auto"/>
        <w:jc w:val="both"/>
        <w:rPr>
          <w:rFonts w:cs="Arial"/>
          <w:color w:val="000000"/>
        </w:rPr>
      </w:pPr>
      <w:bookmarkStart w:id="46" w:name="OLE_LINK3"/>
      <w:bookmarkStart w:id="47" w:name="OLE_LINK4"/>
      <w:r w:rsidRPr="0002530B">
        <w:rPr>
          <w:rFonts w:cs="Arial"/>
          <w:b/>
        </w:rPr>
        <w:t>What is occurring</w:t>
      </w:r>
      <w:r w:rsidR="00FC4A92" w:rsidRPr="0002530B">
        <w:rPr>
          <w:rFonts w:cs="Arial"/>
          <w:b/>
        </w:rPr>
        <w:t>:</w:t>
      </w:r>
      <w:r w:rsidR="005C6ACA" w:rsidRPr="0002530B">
        <w:rPr>
          <w:rFonts w:cs="Arial"/>
          <w:b/>
        </w:rPr>
        <w:t xml:space="preserve"> </w:t>
      </w:r>
      <w:bookmarkEnd w:id="46"/>
      <w:bookmarkEnd w:id="47"/>
      <w:r w:rsidR="00D723D7" w:rsidRPr="0002530B">
        <w:rPr>
          <w:rFonts w:cs="Arial"/>
          <w:color w:val="000000"/>
        </w:rPr>
        <w:t xml:space="preserve">Measures to reduce greenhouse gas emissions for transport are similar to reducing our vulnerability to oil price </w:t>
      </w:r>
      <w:r w:rsidR="008708B6">
        <w:rPr>
          <w:rFonts w:cs="Arial"/>
          <w:color w:val="000000"/>
        </w:rPr>
        <w:t>increases</w:t>
      </w:r>
      <w:r w:rsidR="00D723D7" w:rsidRPr="0002530B">
        <w:rPr>
          <w:rFonts w:cs="Arial"/>
          <w:color w:val="000000"/>
        </w:rPr>
        <w:t>.</w:t>
      </w:r>
      <w:r w:rsidR="00D726FE" w:rsidRPr="0002530B">
        <w:rPr>
          <w:rFonts w:cs="Arial"/>
          <w:color w:val="000000"/>
        </w:rPr>
        <w:t xml:space="preserve"> </w:t>
      </w:r>
    </w:p>
    <w:p w:rsidR="00C31B2B" w:rsidRPr="0002530B" w:rsidRDefault="00C31B2B" w:rsidP="0002530B">
      <w:pPr>
        <w:spacing w:after="120" w:line="240" w:lineRule="auto"/>
        <w:jc w:val="both"/>
      </w:pPr>
      <w:r w:rsidRPr="0002530B">
        <w:t xml:space="preserve">The </w:t>
      </w:r>
      <w:r w:rsidR="00932ACA" w:rsidRPr="003D34CC">
        <w:rPr>
          <w:i/>
        </w:rPr>
        <w:t>Tasmanian Wedges Project Report</w:t>
      </w:r>
      <w:r w:rsidRPr="003D34CC">
        <w:rPr>
          <w:i/>
        </w:rPr>
        <w:t xml:space="preserve"> </w:t>
      </w:r>
      <w:r w:rsidRPr="0002530B">
        <w:t>pre</w:t>
      </w:r>
      <w:r w:rsidR="00932ACA" w:rsidRPr="0002530B">
        <w:t xml:space="preserve">pared for the Tasmanian Climate </w:t>
      </w:r>
      <w:r w:rsidRPr="0002530B">
        <w:t xml:space="preserve">Change Office, compares a range of potential options for reducing emissions from the </w:t>
      </w:r>
      <w:r w:rsidR="0002530B" w:rsidRPr="0002530B">
        <w:t xml:space="preserve">transport sector. </w:t>
      </w:r>
      <w:r w:rsidRPr="0002530B">
        <w:t>These include:</w:t>
      </w:r>
    </w:p>
    <w:p w:rsidR="0002530B" w:rsidRPr="0002530B" w:rsidRDefault="0002530B" w:rsidP="0002530B">
      <w:pPr>
        <w:pStyle w:val="ListParagraph"/>
        <w:numPr>
          <w:ilvl w:val="0"/>
          <w:numId w:val="7"/>
        </w:numPr>
        <w:autoSpaceDE w:val="0"/>
        <w:autoSpaceDN w:val="0"/>
        <w:adjustRightInd w:val="0"/>
        <w:spacing w:after="120" w:line="240" w:lineRule="auto"/>
        <w:ind w:left="777" w:hanging="357"/>
        <w:contextualSpacing w:val="0"/>
        <w:jc w:val="both"/>
        <w:rPr>
          <w:rFonts w:cs="Arial"/>
        </w:rPr>
      </w:pPr>
      <w:r w:rsidRPr="0002530B">
        <w:rPr>
          <w:rFonts w:cs="Arial"/>
        </w:rPr>
        <w:t>Encouraging low emission vehicles and improved fuel efficiency.</w:t>
      </w:r>
    </w:p>
    <w:p w:rsidR="0002530B" w:rsidRPr="0002530B" w:rsidRDefault="0002530B" w:rsidP="0002530B">
      <w:pPr>
        <w:pStyle w:val="ListParagraph"/>
        <w:numPr>
          <w:ilvl w:val="0"/>
          <w:numId w:val="7"/>
        </w:numPr>
        <w:autoSpaceDE w:val="0"/>
        <w:autoSpaceDN w:val="0"/>
        <w:adjustRightInd w:val="0"/>
        <w:spacing w:after="120" w:line="240" w:lineRule="auto"/>
        <w:ind w:left="777" w:hanging="357"/>
        <w:contextualSpacing w:val="0"/>
        <w:jc w:val="both"/>
        <w:rPr>
          <w:rFonts w:cs="Arial"/>
        </w:rPr>
      </w:pPr>
      <w:r w:rsidRPr="0002530B">
        <w:rPr>
          <w:rFonts w:eastAsia="Times New Roman" w:cs="Arial"/>
          <w:lang w:eastAsia="en-AU"/>
        </w:rPr>
        <w:t xml:space="preserve">Establishing planning frameworks </w:t>
      </w:r>
      <w:r w:rsidR="008708B6">
        <w:rPr>
          <w:rFonts w:eastAsia="Times New Roman" w:cs="Arial"/>
          <w:lang w:eastAsia="en-AU"/>
        </w:rPr>
        <w:t xml:space="preserve">that </w:t>
      </w:r>
      <w:r w:rsidRPr="0002530B">
        <w:rPr>
          <w:rFonts w:eastAsia="Times New Roman" w:cs="Arial"/>
          <w:lang w:eastAsia="en-AU"/>
        </w:rPr>
        <w:t xml:space="preserve">maximise transport efficiency and accommodate alternative transport technologies. </w:t>
      </w:r>
    </w:p>
    <w:p w:rsidR="00C31B2B" w:rsidRPr="0002530B" w:rsidRDefault="0002530B" w:rsidP="0002530B">
      <w:pPr>
        <w:numPr>
          <w:ilvl w:val="0"/>
          <w:numId w:val="7"/>
        </w:numPr>
        <w:spacing w:after="120" w:line="240" w:lineRule="auto"/>
        <w:rPr>
          <w:rFonts w:cs="Arial"/>
          <w:color w:val="000000"/>
        </w:rPr>
      </w:pPr>
      <w:r w:rsidRPr="00932ACA">
        <w:rPr>
          <w:rFonts w:eastAsia="Times New Roman" w:cs="Arial"/>
          <w:lang w:eastAsia="en-AU"/>
        </w:rPr>
        <w:t xml:space="preserve">Improving public transport, including walking and </w:t>
      </w:r>
      <w:r w:rsidRPr="0002530B">
        <w:rPr>
          <w:rFonts w:eastAsia="Times New Roman" w:cs="Arial"/>
          <w:lang w:eastAsia="en-AU"/>
        </w:rPr>
        <w:t>cycling.</w:t>
      </w:r>
    </w:p>
    <w:p w:rsidR="005C6ACA" w:rsidRDefault="005C6ACA" w:rsidP="00E52A9A">
      <w:pPr>
        <w:pStyle w:val="Heading2"/>
        <w:rPr>
          <w:lang w:val="en-US"/>
        </w:rPr>
      </w:pPr>
      <w:bookmarkStart w:id="48" w:name="_Toc320197781"/>
      <w:bookmarkStart w:id="49" w:name="_Toc326833293"/>
      <w:r>
        <w:rPr>
          <w:lang w:val="en-US"/>
        </w:rPr>
        <w:t>Increasing cost of transport infrastructure</w:t>
      </w:r>
      <w:bookmarkEnd w:id="48"/>
      <w:bookmarkEnd w:id="49"/>
    </w:p>
    <w:p w:rsidR="00561992" w:rsidRPr="008D6E83" w:rsidRDefault="005C6ACA" w:rsidP="00561992">
      <w:pPr>
        <w:spacing w:after="120" w:line="240" w:lineRule="auto"/>
        <w:jc w:val="both"/>
        <w:rPr>
          <w:i/>
          <w:lang w:val="en-US"/>
        </w:rPr>
      </w:pPr>
      <w:r w:rsidRPr="00F621ED">
        <w:rPr>
          <w:b/>
        </w:rPr>
        <w:t>The problem:</w:t>
      </w:r>
      <w:r>
        <w:t xml:space="preserve"> </w:t>
      </w:r>
      <w:r w:rsidRPr="005C6ACA">
        <w:t>Tasmania has a</w:t>
      </w:r>
      <w:r w:rsidRPr="005C6ACA">
        <w:rPr>
          <w:lang w:val="en-US"/>
        </w:rPr>
        <w:t xml:space="preserve">n extensive and </w:t>
      </w:r>
      <w:r w:rsidR="000E6976">
        <w:rPr>
          <w:lang w:val="en-US"/>
        </w:rPr>
        <w:t>ageing</w:t>
      </w:r>
      <w:r w:rsidRPr="005C6ACA">
        <w:rPr>
          <w:lang w:val="en-US"/>
        </w:rPr>
        <w:t xml:space="preserve"> transport system with high capital and recurrent </w:t>
      </w:r>
      <w:r w:rsidR="004A330A">
        <w:rPr>
          <w:lang w:val="en-US"/>
        </w:rPr>
        <w:t xml:space="preserve">maintenance </w:t>
      </w:r>
      <w:r w:rsidR="00561992">
        <w:rPr>
          <w:lang w:val="en-US"/>
        </w:rPr>
        <w:t>costs. In today’s current financial climate, the</w:t>
      </w:r>
      <w:r w:rsidR="00561992" w:rsidRPr="005C6ACA">
        <w:t xml:space="preserve"> Tasmanian Government cannot afford to ‘build its </w:t>
      </w:r>
      <w:r w:rsidR="00561992">
        <w:t>way out’ of transport problems.</w:t>
      </w:r>
      <w:r w:rsidR="003C3B8F">
        <w:t xml:space="preserve">  Irrespective of this current budgetary problem, it is clear that such a solution is ultimately counter-productive.</w:t>
      </w:r>
    </w:p>
    <w:p w:rsidR="007B1DCA" w:rsidRPr="00561992" w:rsidRDefault="005C6ACA" w:rsidP="00561992">
      <w:pPr>
        <w:spacing w:after="120" w:line="240" w:lineRule="auto"/>
        <w:jc w:val="both"/>
        <w:rPr>
          <w:lang w:val="en-US"/>
        </w:rPr>
      </w:pPr>
      <w:r w:rsidRPr="005C6ACA">
        <w:rPr>
          <w:lang w:val="en-US"/>
        </w:rPr>
        <w:t>Infrastructure solutions</w:t>
      </w:r>
      <w:r w:rsidR="00561992">
        <w:rPr>
          <w:lang w:val="en-US"/>
        </w:rPr>
        <w:t xml:space="preserve"> </w:t>
      </w:r>
      <w:r w:rsidR="003C3B8F">
        <w:rPr>
          <w:lang w:val="en-US"/>
        </w:rPr>
        <w:t>(</w:t>
      </w:r>
      <w:r w:rsidR="00561992">
        <w:rPr>
          <w:lang w:val="en-US"/>
        </w:rPr>
        <w:t>such as building new roads</w:t>
      </w:r>
      <w:r w:rsidR="003C3B8F">
        <w:rPr>
          <w:lang w:val="en-US"/>
        </w:rPr>
        <w:t>),</w:t>
      </w:r>
      <w:r w:rsidRPr="005C6ACA">
        <w:rPr>
          <w:lang w:val="en-US"/>
        </w:rPr>
        <w:t xml:space="preserve"> have </w:t>
      </w:r>
      <w:r w:rsidR="003C3B8F">
        <w:rPr>
          <w:lang w:val="en-US"/>
        </w:rPr>
        <w:t>been</w:t>
      </w:r>
      <w:r w:rsidR="003C3B8F" w:rsidRPr="005C6ACA">
        <w:rPr>
          <w:lang w:val="en-US"/>
        </w:rPr>
        <w:t xml:space="preserve"> </w:t>
      </w:r>
      <w:r w:rsidR="003C3B8F">
        <w:rPr>
          <w:lang w:val="en-US"/>
        </w:rPr>
        <w:t>traditional</w:t>
      </w:r>
      <w:r w:rsidR="003D34CC">
        <w:rPr>
          <w:lang w:val="en-US"/>
        </w:rPr>
        <w:t>ly the</w:t>
      </w:r>
      <w:r w:rsidR="003C3B8F">
        <w:rPr>
          <w:lang w:val="en-US"/>
        </w:rPr>
        <w:t xml:space="preserve"> only</w:t>
      </w:r>
      <w:r w:rsidRPr="005C6ACA">
        <w:rPr>
          <w:lang w:val="en-US"/>
        </w:rPr>
        <w:t xml:space="preserve"> response to transport </w:t>
      </w:r>
      <w:r>
        <w:rPr>
          <w:lang w:val="en-US"/>
        </w:rPr>
        <w:t>problems</w:t>
      </w:r>
      <w:r w:rsidR="004A330A">
        <w:rPr>
          <w:lang w:val="en-US"/>
        </w:rPr>
        <w:t xml:space="preserve">, </w:t>
      </w:r>
      <w:r w:rsidR="003D34CC">
        <w:rPr>
          <w:lang w:val="en-US"/>
        </w:rPr>
        <w:t>particularly traffic</w:t>
      </w:r>
      <w:r w:rsidR="003C3B8F">
        <w:rPr>
          <w:lang w:val="en-US"/>
        </w:rPr>
        <w:t xml:space="preserve"> </w:t>
      </w:r>
      <w:r w:rsidR="004A330A">
        <w:rPr>
          <w:lang w:val="en-US"/>
        </w:rPr>
        <w:t xml:space="preserve">congestion. </w:t>
      </w:r>
      <w:r w:rsidR="007B1DCA" w:rsidRPr="007B1DCA">
        <w:rPr>
          <w:rFonts w:cs="Arial"/>
        </w:rPr>
        <w:t>Providing new roads can lead to induced demand</w:t>
      </w:r>
      <w:r w:rsidR="00561992">
        <w:rPr>
          <w:rFonts w:cs="Arial"/>
        </w:rPr>
        <w:t>, encouraging more people to use cars as a form of transport. Expanding urban road capacity</w:t>
      </w:r>
      <w:r w:rsidR="007B1DCA" w:rsidRPr="007B1DCA">
        <w:rPr>
          <w:rFonts w:cs="Arial"/>
        </w:rPr>
        <w:t xml:space="preserve"> </w:t>
      </w:r>
      <w:r w:rsidR="00561992">
        <w:rPr>
          <w:rFonts w:cs="Arial"/>
        </w:rPr>
        <w:t>makes</w:t>
      </w:r>
      <w:r w:rsidR="007B1DCA" w:rsidRPr="007B1DCA">
        <w:rPr>
          <w:rFonts w:cs="Arial"/>
        </w:rPr>
        <w:t xml:space="preserve"> outer urban areas more</w:t>
      </w:r>
      <w:r w:rsidR="00561992">
        <w:rPr>
          <w:rFonts w:cs="Arial"/>
        </w:rPr>
        <w:t xml:space="preserve"> </w:t>
      </w:r>
      <w:r w:rsidR="007B1DCA" w:rsidRPr="007B1DCA">
        <w:rPr>
          <w:rFonts w:cs="Arial"/>
        </w:rPr>
        <w:t>attractive places to live, leading to residential growth and expansion of areas which are</w:t>
      </w:r>
      <w:r w:rsidR="00561992">
        <w:rPr>
          <w:rFonts w:cs="Arial"/>
        </w:rPr>
        <w:t xml:space="preserve"> </w:t>
      </w:r>
      <w:r w:rsidR="007B1DCA" w:rsidRPr="007B1DCA">
        <w:rPr>
          <w:rFonts w:cs="Arial"/>
        </w:rPr>
        <w:t>separated from people’s workplaces</w:t>
      </w:r>
      <w:r w:rsidR="00561992">
        <w:rPr>
          <w:rFonts w:cs="Arial"/>
        </w:rPr>
        <w:t xml:space="preserve"> and are poorly serviced by public transport</w:t>
      </w:r>
      <w:r w:rsidR="007B1DCA" w:rsidRPr="007B1DCA">
        <w:rPr>
          <w:rFonts w:cs="Arial"/>
        </w:rPr>
        <w:t>. These outer areas are typically characterised by low</w:t>
      </w:r>
      <w:r w:rsidR="00561992">
        <w:rPr>
          <w:rFonts w:cs="Arial"/>
        </w:rPr>
        <w:t xml:space="preserve"> </w:t>
      </w:r>
      <w:r w:rsidR="007B1DCA" w:rsidRPr="007B1DCA">
        <w:rPr>
          <w:rFonts w:cs="Arial"/>
        </w:rPr>
        <w:t xml:space="preserve">density residential development with </w:t>
      </w:r>
      <w:r w:rsidR="003C3B8F">
        <w:rPr>
          <w:rFonts w:cs="Arial"/>
        </w:rPr>
        <w:t>few local</w:t>
      </w:r>
      <w:r w:rsidR="007B1DCA" w:rsidRPr="007B1DCA">
        <w:rPr>
          <w:rFonts w:cs="Arial"/>
        </w:rPr>
        <w:t xml:space="preserve"> shops or</w:t>
      </w:r>
      <w:r w:rsidR="00561992">
        <w:rPr>
          <w:rFonts w:cs="Arial"/>
        </w:rPr>
        <w:t xml:space="preserve"> </w:t>
      </w:r>
      <w:r w:rsidR="007B1DCA" w:rsidRPr="007B1DCA">
        <w:rPr>
          <w:rFonts w:cs="Arial"/>
        </w:rPr>
        <w:t>services</w:t>
      </w:r>
      <w:r w:rsidR="003C3B8F">
        <w:rPr>
          <w:rFonts w:cs="Arial"/>
        </w:rPr>
        <w:t>,</w:t>
      </w:r>
      <w:r w:rsidR="007B1DCA" w:rsidRPr="007B1DCA">
        <w:rPr>
          <w:rFonts w:cs="Arial"/>
        </w:rPr>
        <w:t xml:space="preserve"> </w:t>
      </w:r>
      <w:r w:rsidR="00561992">
        <w:rPr>
          <w:rFonts w:cs="Arial"/>
        </w:rPr>
        <w:t>which</w:t>
      </w:r>
      <w:r w:rsidR="007B1DCA" w:rsidRPr="007B1DCA">
        <w:rPr>
          <w:rFonts w:cs="Arial"/>
        </w:rPr>
        <w:t xml:space="preserve"> encourages the use and reliance of cars over other forms of</w:t>
      </w:r>
      <w:r w:rsidR="00561992">
        <w:rPr>
          <w:rFonts w:cs="Arial"/>
        </w:rPr>
        <w:t xml:space="preserve"> </w:t>
      </w:r>
      <w:r w:rsidR="007B1DCA" w:rsidRPr="007B1DCA">
        <w:rPr>
          <w:rFonts w:cs="Arial"/>
        </w:rPr>
        <w:t>transport.</w:t>
      </w:r>
    </w:p>
    <w:p w:rsidR="0002530B" w:rsidRDefault="00561992" w:rsidP="00561992">
      <w:pPr>
        <w:autoSpaceDE w:val="0"/>
        <w:autoSpaceDN w:val="0"/>
        <w:adjustRightInd w:val="0"/>
        <w:spacing w:after="120" w:line="240" w:lineRule="auto"/>
        <w:jc w:val="both"/>
        <w:rPr>
          <w:rFonts w:cs="Arial"/>
        </w:rPr>
      </w:pPr>
      <w:r>
        <w:rPr>
          <w:rFonts w:cs="Caecilia Light"/>
          <w:color w:val="000000"/>
        </w:rPr>
        <w:lastRenderedPageBreak/>
        <w:t>While building new roads and</w:t>
      </w:r>
      <w:r w:rsidR="007B1DCA" w:rsidRPr="007B1DCA">
        <w:rPr>
          <w:rFonts w:cs="Caecilia Light"/>
          <w:color w:val="000000"/>
        </w:rPr>
        <w:t xml:space="preserve"> expanding road capacity might provide </w:t>
      </w:r>
      <w:r>
        <w:rPr>
          <w:rFonts w:cs="Caecilia Light"/>
          <w:color w:val="000000"/>
        </w:rPr>
        <w:t xml:space="preserve">congestion </w:t>
      </w:r>
      <w:r w:rsidR="007B1DCA" w:rsidRPr="007B1DCA">
        <w:rPr>
          <w:rFonts w:cs="Caecilia Light"/>
          <w:color w:val="000000"/>
        </w:rPr>
        <w:t>relief for the first few years</w:t>
      </w:r>
      <w:r>
        <w:rPr>
          <w:rFonts w:cs="Caecilia Light"/>
          <w:color w:val="000000"/>
        </w:rPr>
        <w:t xml:space="preserve"> of operation, </w:t>
      </w:r>
      <w:r w:rsidR="007B1DCA" w:rsidRPr="007B1DCA">
        <w:rPr>
          <w:rFonts w:cs="Arial"/>
        </w:rPr>
        <w:t xml:space="preserve">congestion is </w:t>
      </w:r>
      <w:r>
        <w:rPr>
          <w:rFonts w:cs="Arial"/>
        </w:rPr>
        <w:t xml:space="preserve">often </w:t>
      </w:r>
      <w:r w:rsidR="007B1DCA" w:rsidRPr="007B1DCA">
        <w:rPr>
          <w:rFonts w:cs="Arial"/>
        </w:rPr>
        <w:t>back to</w:t>
      </w:r>
      <w:r>
        <w:rPr>
          <w:rFonts w:cs="Arial"/>
        </w:rPr>
        <w:t>,</w:t>
      </w:r>
      <w:r w:rsidR="007B1DCA" w:rsidRPr="007B1DCA">
        <w:rPr>
          <w:rFonts w:cs="Arial"/>
        </w:rPr>
        <w:t xml:space="preserve"> or worse than the initial situation that </w:t>
      </w:r>
      <w:r w:rsidRPr="007B1DCA">
        <w:rPr>
          <w:rFonts w:cs="Arial"/>
        </w:rPr>
        <w:t>pro</w:t>
      </w:r>
      <w:r>
        <w:rPr>
          <w:rFonts w:cs="Arial"/>
        </w:rPr>
        <w:t>m</w:t>
      </w:r>
      <w:r w:rsidRPr="007B1DCA">
        <w:rPr>
          <w:rFonts w:cs="Arial"/>
        </w:rPr>
        <w:t>pted</w:t>
      </w:r>
      <w:r w:rsidR="007B1DCA" w:rsidRPr="007B1DCA">
        <w:rPr>
          <w:rFonts w:cs="Arial"/>
        </w:rPr>
        <w:t xml:space="preserve"> the infrastructure</w:t>
      </w:r>
      <w:r>
        <w:rPr>
          <w:rFonts w:cs="Arial"/>
        </w:rPr>
        <w:t xml:space="preserve"> development in the first place.</w:t>
      </w:r>
      <w:r w:rsidR="003C3B8F">
        <w:rPr>
          <w:rFonts w:cs="Arial"/>
        </w:rPr>
        <w:t xml:space="preserve">  This has been experienced over recent decades in Australia’s major cities.</w:t>
      </w:r>
    </w:p>
    <w:p w:rsidR="008C62FB" w:rsidRDefault="005C6ACA" w:rsidP="00826762">
      <w:pPr>
        <w:spacing w:after="120" w:line="240" w:lineRule="auto"/>
        <w:jc w:val="both"/>
        <w:rPr>
          <w:rFonts w:cs="Arial"/>
        </w:rPr>
      </w:pPr>
      <w:r w:rsidRPr="0078440B">
        <w:rPr>
          <w:rFonts w:cs="Arial"/>
          <w:b/>
        </w:rPr>
        <w:t>The cause</w:t>
      </w:r>
      <w:r w:rsidR="000E6976">
        <w:rPr>
          <w:rFonts w:cs="Arial"/>
          <w:b/>
        </w:rPr>
        <w:t>:</w:t>
      </w:r>
      <w:r w:rsidR="008C62FB" w:rsidRPr="008C62FB">
        <w:rPr>
          <w:rFonts w:cs="Arial"/>
        </w:rPr>
        <w:t xml:space="preserve"> </w:t>
      </w:r>
      <w:r w:rsidR="008C62FB">
        <w:rPr>
          <w:rFonts w:cs="Arial"/>
        </w:rPr>
        <w:t xml:space="preserve">Infrastructure costs have increased significantly over the </w:t>
      </w:r>
      <w:r w:rsidR="00726565">
        <w:rPr>
          <w:rFonts w:cs="Arial"/>
        </w:rPr>
        <w:t>last two decades as a result of:</w:t>
      </w:r>
    </w:p>
    <w:p w:rsidR="008C62FB" w:rsidRDefault="008C62FB" w:rsidP="00F53395">
      <w:pPr>
        <w:pStyle w:val="ListParagraph"/>
        <w:numPr>
          <w:ilvl w:val="0"/>
          <w:numId w:val="8"/>
        </w:numPr>
        <w:spacing w:after="120" w:line="240" w:lineRule="auto"/>
        <w:contextualSpacing w:val="0"/>
        <w:jc w:val="both"/>
      </w:pPr>
      <w:r>
        <w:t>Increasing technical standards</w:t>
      </w:r>
      <w:r w:rsidR="003C3B8F">
        <w:t xml:space="preserve"> (eg. for safety, noise attenuation)</w:t>
      </w:r>
      <w:r>
        <w:t>.</w:t>
      </w:r>
    </w:p>
    <w:p w:rsidR="008C62FB" w:rsidRDefault="008C62FB" w:rsidP="00F53395">
      <w:pPr>
        <w:pStyle w:val="ListParagraph"/>
        <w:numPr>
          <w:ilvl w:val="0"/>
          <w:numId w:val="8"/>
        </w:numPr>
        <w:spacing w:after="120" w:line="240" w:lineRule="auto"/>
        <w:contextualSpacing w:val="0"/>
        <w:jc w:val="both"/>
      </w:pPr>
      <w:r>
        <w:t>Land acquisition costs.</w:t>
      </w:r>
    </w:p>
    <w:p w:rsidR="008C62FB" w:rsidRDefault="008C62FB" w:rsidP="00F53395">
      <w:pPr>
        <w:pStyle w:val="ListParagraph"/>
        <w:numPr>
          <w:ilvl w:val="0"/>
          <w:numId w:val="8"/>
        </w:numPr>
        <w:spacing w:after="120" w:line="240" w:lineRule="auto"/>
        <w:contextualSpacing w:val="0"/>
        <w:jc w:val="both"/>
      </w:pPr>
      <w:r>
        <w:t>Planning and environmental requirements.</w:t>
      </w:r>
    </w:p>
    <w:p w:rsidR="008C62FB" w:rsidRDefault="008C62FB" w:rsidP="00F53395">
      <w:pPr>
        <w:pStyle w:val="ListParagraph"/>
        <w:numPr>
          <w:ilvl w:val="0"/>
          <w:numId w:val="8"/>
        </w:numPr>
        <w:spacing w:after="120" w:line="240" w:lineRule="auto"/>
        <w:contextualSpacing w:val="0"/>
        <w:jc w:val="both"/>
      </w:pPr>
      <w:r>
        <w:t>Cost of labour.</w:t>
      </w:r>
    </w:p>
    <w:p w:rsidR="008C62FB" w:rsidRDefault="008C62FB" w:rsidP="00F53395">
      <w:pPr>
        <w:pStyle w:val="ListParagraph"/>
        <w:numPr>
          <w:ilvl w:val="0"/>
          <w:numId w:val="8"/>
        </w:numPr>
        <w:spacing w:after="120" w:line="240" w:lineRule="auto"/>
        <w:contextualSpacing w:val="0"/>
        <w:jc w:val="both"/>
      </w:pPr>
      <w:r>
        <w:t xml:space="preserve">Requirement for better quality </w:t>
      </w:r>
      <w:r w:rsidR="00561992">
        <w:t xml:space="preserve">construction </w:t>
      </w:r>
      <w:r>
        <w:t>materials.</w:t>
      </w:r>
    </w:p>
    <w:p w:rsidR="008C62FB" w:rsidRDefault="008C62FB" w:rsidP="00F53395">
      <w:pPr>
        <w:pStyle w:val="ListParagraph"/>
        <w:numPr>
          <w:ilvl w:val="0"/>
          <w:numId w:val="8"/>
        </w:numPr>
        <w:spacing w:after="120" w:line="240" w:lineRule="auto"/>
        <w:contextualSpacing w:val="0"/>
        <w:jc w:val="both"/>
      </w:pPr>
      <w:r>
        <w:t>Building in already developed areas with constraints eg</w:t>
      </w:r>
      <w:r w:rsidR="00726565">
        <w:t>.</w:t>
      </w:r>
      <w:r>
        <w:t xml:space="preserve"> cost of relocating infrastructure, demolition</w:t>
      </w:r>
      <w:r w:rsidR="00447BCC">
        <w:t xml:space="preserve"> costs</w:t>
      </w:r>
      <w:r>
        <w:t xml:space="preserve">. </w:t>
      </w:r>
    </w:p>
    <w:p w:rsidR="008C62FB" w:rsidRDefault="008C62FB" w:rsidP="00826762">
      <w:pPr>
        <w:spacing w:after="120" w:line="240" w:lineRule="auto"/>
        <w:jc w:val="both"/>
      </w:pPr>
      <w:r>
        <w:t xml:space="preserve">Maintenance costs have also increased as our infrastructure </w:t>
      </w:r>
      <w:r w:rsidR="00726565">
        <w:t>ages - the</w:t>
      </w:r>
      <w:r>
        <w:t xml:space="preserve"> older our infrastructure the greater the level of maintenance required to preserve the asset.</w:t>
      </w:r>
    </w:p>
    <w:p w:rsidR="002A7F55" w:rsidRDefault="00561992" w:rsidP="002A7F55">
      <w:pPr>
        <w:spacing w:after="120" w:line="240" w:lineRule="auto"/>
        <w:jc w:val="both"/>
      </w:pPr>
      <w:r w:rsidRPr="0002530B">
        <w:rPr>
          <w:rFonts w:cs="Arial"/>
          <w:b/>
        </w:rPr>
        <w:t xml:space="preserve">What is occurring: </w:t>
      </w:r>
      <w:r w:rsidR="002A7F55">
        <w:t xml:space="preserve">Making better use of existing networks through targeted upgrades and managing </w:t>
      </w:r>
      <w:r w:rsidR="003C3B8F">
        <w:t xml:space="preserve">the community’s </w:t>
      </w:r>
      <w:r w:rsidR="002A7F55">
        <w:t>demand for travel is a more effective use of our limited funds than focusing on large infrastructure solutions.</w:t>
      </w:r>
      <w:r w:rsidR="00A4422B">
        <w:t xml:space="preserve"> Where infrastructure solutions are </w:t>
      </w:r>
      <w:r w:rsidR="00726565">
        <w:t>essential,</w:t>
      </w:r>
      <w:r w:rsidR="00A4422B">
        <w:t xml:space="preserve"> they should be directed to areas where there will be the greatest benefit, including benefiting the </w:t>
      </w:r>
      <w:r w:rsidR="003C3B8F">
        <w:t xml:space="preserve">greatest </w:t>
      </w:r>
      <w:r w:rsidR="00A4422B">
        <w:t>number of people.</w:t>
      </w:r>
    </w:p>
    <w:p w:rsidR="005C6ACA" w:rsidRPr="006C1FEC" w:rsidRDefault="00561992" w:rsidP="00826762">
      <w:pPr>
        <w:spacing w:after="120" w:line="240" w:lineRule="auto"/>
        <w:jc w:val="both"/>
        <w:rPr>
          <w:color w:val="FF0000"/>
          <w:lang w:val="en-US"/>
        </w:rPr>
      </w:pPr>
      <w:r>
        <w:rPr>
          <w:lang w:val="en-US"/>
        </w:rPr>
        <w:t>The State Government is increasingly focused on improving the efficiency, reliability and safety of our existing networks and public transport services.</w:t>
      </w:r>
    </w:p>
    <w:p w:rsidR="00FC4A92" w:rsidRPr="00366E3E" w:rsidRDefault="00FC4A92" w:rsidP="004C4B2A">
      <w:pPr>
        <w:autoSpaceDE w:val="0"/>
        <w:autoSpaceDN w:val="0"/>
        <w:adjustRightInd w:val="0"/>
        <w:spacing w:after="0" w:line="240" w:lineRule="auto"/>
        <w:jc w:val="both"/>
        <w:rPr>
          <w:rFonts w:cs="Arial"/>
          <w:color w:val="000000"/>
        </w:rPr>
      </w:pPr>
    </w:p>
    <w:p w:rsidR="009B2E74" w:rsidRDefault="009B2E74" w:rsidP="009B2E74"/>
    <w:p w:rsidR="002B433A" w:rsidRDefault="002B433A" w:rsidP="002B433A">
      <w:pPr>
        <w:autoSpaceDE w:val="0"/>
        <w:autoSpaceDN w:val="0"/>
        <w:adjustRightInd w:val="0"/>
        <w:spacing w:after="0" w:line="240" w:lineRule="auto"/>
        <w:jc w:val="both"/>
        <w:rPr>
          <w:rFonts w:cs="Arial"/>
          <w:highlight w:val="yellow"/>
        </w:rPr>
      </w:pPr>
    </w:p>
    <w:p w:rsidR="002B433A" w:rsidRDefault="002B433A" w:rsidP="002B433A">
      <w:pPr>
        <w:autoSpaceDE w:val="0"/>
        <w:autoSpaceDN w:val="0"/>
        <w:adjustRightInd w:val="0"/>
        <w:spacing w:after="0" w:line="240" w:lineRule="auto"/>
        <w:jc w:val="both"/>
        <w:rPr>
          <w:rFonts w:cs="Arial"/>
        </w:rPr>
      </w:pPr>
    </w:p>
    <w:p w:rsidR="007571D6" w:rsidRPr="000774A3" w:rsidRDefault="00DB44DC" w:rsidP="000774A3">
      <w:pPr>
        <w:rPr>
          <w:b/>
        </w:rPr>
      </w:pPr>
      <w:r w:rsidRPr="000774A3">
        <w:rPr>
          <w:rFonts w:cs="Arial"/>
          <w:b/>
        </w:rPr>
        <w:br w:type="page"/>
      </w:r>
    </w:p>
    <w:p w:rsidR="00DB44DC" w:rsidRPr="00DB44DC" w:rsidRDefault="00E23947" w:rsidP="00126BC8">
      <w:pPr>
        <w:autoSpaceDE w:val="0"/>
        <w:autoSpaceDN w:val="0"/>
        <w:adjustRightInd w:val="0"/>
        <w:spacing w:after="0" w:line="240" w:lineRule="auto"/>
        <w:jc w:val="both"/>
        <w:rPr>
          <w:rFonts w:cs="Arial"/>
        </w:rPr>
      </w:pPr>
      <w:r>
        <w:rPr>
          <w:rFonts w:cs="Arial"/>
          <w:noProof/>
          <w:lang w:eastAsia="en-AU"/>
        </w:rPr>
        <w:lastRenderedPageBreak/>
        <w:drawing>
          <wp:anchor distT="0" distB="0" distL="114300" distR="114300" simplePos="0" relativeHeight="251670528" behindDoc="1" locked="0" layoutInCell="0" allowOverlap="1">
            <wp:simplePos x="0" y="0"/>
            <wp:positionH relativeFrom="page">
              <wp:posOffset>0</wp:posOffset>
            </wp:positionH>
            <wp:positionV relativeFrom="page">
              <wp:align>center</wp:align>
            </wp:positionV>
            <wp:extent cx="7562850" cy="10696575"/>
            <wp:effectExtent l="19050" t="0" r="0" b="0"/>
            <wp:wrapNone/>
            <wp:docPr id="9" name="Picture 9" descr="M:\Studio Production\For Archiving\DPC\0061_StyleGuide_Staff use\DPC_Word\Images\ba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tudio Production\For Archiving\DPC\0061_StyleGuide_Staff use\DPC_Word\Images\backcover.jpg"/>
                    <pic:cNvPicPr>
                      <a:picLocks noChangeAspect="1" noChangeArrowheads="1"/>
                    </pic:cNvPicPr>
                  </pic:nvPicPr>
                  <pic:blipFill>
                    <a:blip r:embed="rId10" cstate="print"/>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p w:rsidR="00D067AE" w:rsidRPr="00DB44DC" w:rsidRDefault="00D067AE" w:rsidP="00126BC8">
      <w:pPr>
        <w:jc w:val="both"/>
        <w:rPr>
          <w:rFonts w:cs="Arial"/>
        </w:rPr>
      </w:pPr>
    </w:p>
    <w:p w:rsidR="00D067AE" w:rsidRPr="00DB44DC" w:rsidRDefault="007661A0" w:rsidP="00126BC8">
      <w:pPr>
        <w:jc w:val="both"/>
        <w:rPr>
          <w:rFonts w:cs="Arial"/>
        </w:rPr>
      </w:pPr>
      <w:r>
        <w:rPr>
          <w:rFonts w:cs="Arial"/>
          <w:noProof/>
          <w:lang w:eastAsia="en-AU"/>
        </w:rPr>
        <w:pict>
          <v:shape id="_x0000_s1028" type="#_x0000_t202" style="position:absolute;left:0;text-align:left;margin-left:333pt;margin-top:480pt;width:171pt;height:171pt;z-index:251682816" filled="f" stroked="f">
            <v:textbox style="mso-next-textbox:#_x0000_s1028">
              <w:txbxContent>
                <w:p w:rsidR="00DB5AF8" w:rsidRPr="00E85EE1" w:rsidRDefault="00DB5AF8" w:rsidP="007571D6">
                  <w:pPr>
                    <w:spacing w:before="60" w:after="60"/>
                    <w:rPr>
                      <w:rFonts w:cs="Arial"/>
                      <w:b/>
                      <w:bCs/>
                      <w:snapToGrid w:val="0"/>
                      <w:color w:val="FFFFFF" w:themeColor="background1"/>
                      <w:sz w:val="20"/>
                    </w:rPr>
                  </w:pPr>
                  <w:r w:rsidRPr="00E85EE1">
                    <w:rPr>
                      <w:rFonts w:cs="Arial"/>
                      <w:b/>
                      <w:bCs/>
                      <w:snapToGrid w:val="0"/>
                      <w:color w:val="FFFFFF" w:themeColor="background1"/>
                      <w:sz w:val="20"/>
                    </w:rPr>
                    <w:t>Department of Infrastructure, Energy and Resources</w:t>
                  </w:r>
                </w:p>
                <w:p w:rsidR="00DB5AF8" w:rsidRPr="00E85EE1" w:rsidRDefault="00DB5AF8" w:rsidP="007571D6">
                  <w:pPr>
                    <w:pStyle w:val="BodyText"/>
                    <w:spacing w:before="60" w:after="60"/>
                    <w:rPr>
                      <w:rFonts w:ascii="Arial" w:hAnsi="Arial"/>
                      <w:b w:val="0"/>
                      <w:bCs w:val="0"/>
                      <w:color w:val="FFFFFF" w:themeColor="background1"/>
                    </w:rPr>
                  </w:pPr>
                </w:p>
                <w:p w:rsidR="00DB5AF8" w:rsidRPr="00E85EE1" w:rsidRDefault="00DB5AF8" w:rsidP="007571D6">
                  <w:pPr>
                    <w:spacing w:before="60" w:after="60"/>
                    <w:rPr>
                      <w:rFonts w:cs="Arial"/>
                      <w:snapToGrid w:val="0"/>
                      <w:color w:val="FFFFFF" w:themeColor="background1"/>
                      <w:sz w:val="20"/>
                    </w:rPr>
                  </w:pPr>
                  <w:r w:rsidRPr="00E85EE1">
                    <w:rPr>
                      <w:rFonts w:cs="Arial"/>
                      <w:snapToGrid w:val="0"/>
                      <w:color w:val="FFFFFF" w:themeColor="background1"/>
                      <w:sz w:val="20"/>
                    </w:rPr>
                    <w:t xml:space="preserve">10 Murray Street, </w:t>
                  </w:r>
                </w:p>
                <w:p w:rsidR="00DB5AF8" w:rsidRPr="00E85EE1" w:rsidRDefault="00DB5AF8" w:rsidP="007571D6">
                  <w:pPr>
                    <w:spacing w:before="60" w:after="60"/>
                    <w:rPr>
                      <w:rFonts w:cs="Arial"/>
                      <w:snapToGrid w:val="0"/>
                      <w:color w:val="FFFFFF" w:themeColor="background1"/>
                      <w:sz w:val="20"/>
                    </w:rPr>
                  </w:pPr>
                  <w:r w:rsidRPr="00E85EE1">
                    <w:rPr>
                      <w:rFonts w:cs="Arial"/>
                      <w:snapToGrid w:val="0"/>
                      <w:color w:val="FFFFFF" w:themeColor="background1"/>
                      <w:sz w:val="20"/>
                    </w:rPr>
                    <w:t>Hobart TAS 7001</w:t>
                  </w:r>
                </w:p>
                <w:p w:rsidR="00DB5AF8" w:rsidRPr="00E85EE1" w:rsidRDefault="00DB5AF8" w:rsidP="007571D6">
                  <w:pPr>
                    <w:spacing w:before="60" w:after="60"/>
                    <w:rPr>
                      <w:rFonts w:cs="Arial"/>
                      <w:snapToGrid w:val="0"/>
                      <w:color w:val="FFFFFF" w:themeColor="background1"/>
                      <w:sz w:val="20"/>
                    </w:rPr>
                  </w:pPr>
                  <w:r w:rsidRPr="00E85EE1">
                    <w:rPr>
                      <w:rFonts w:cs="Arial"/>
                      <w:snapToGrid w:val="0"/>
                      <w:color w:val="FFFFFF" w:themeColor="background1"/>
                      <w:sz w:val="20"/>
                    </w:rPr>
                    <w:t>Ph: 1300 135 513</w:t>
                  </w:r>
                </w:p>
                <w:p w:rsidR="00DB5AF8" w:rsidRPr="00E85EE1" w:rsidRDefault="00DB5AF8" w:rsidP="007571D6">
                  <w:pPr>
                    <w:spacing w:before="60" w:after="60"/>
                    <w:rPr>
                      <w:rFonts w:cs="Arial"/>
                      <w:snapToGrid w:val="0"/>
                      <w:color w:val="FFFFFF" w:themeColor="background1"/>
                    </w:rPr>
                  </w:pPr>
                  <w:r w:rsidRPr="00E85EE1">
                    <w:rPr>
                      <w:rFonts w:cs="Arial"/>
                      <w:snapToGrid w:val="0"/>
                      <w:color w:val="FFFFFF" w:themeColor="background1"/>
                      <w:sz w:val="20"/>
                    </w:rPr>
                    <w:t>Visit: www.dier.tas.gov.au</w:t>
                  </w:r>
                </w:p>
              </w:txbxContent>
            </v:textbox>
          </v:shape>
        </w:pict>
      </w:r>
    </w:p>
    <w:p w:rsidR="0081590E" w:rsidRPr="00DB44DC" w:rsidRDefault="0081590E" w:rsidP="00126BC8">
      <w:pPr>
        <w:jc w:val="both"/>
        <w:rPr>
          <w:rFonts w:cs="Arial"/>
        </w:rPr>
      </w:pPr>
    </w:p>
    <w:sectPr w:rsidR="0081590E" w:rsidRPr="00DB44DC" w:rsidSect="0081590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F8" w:rsidRDefault="00DB5AF8" w:rsidP="00DB44DC">
      <w:pPr>
        <w:spacing w:after="0" w:line="240" w:lineRule="auto"/>
      </w:pPr>
      <w:r>
        <w:separator/>
      </w:r>
    </w:p>
  </w:endnote>
  <w:endnote w:type="continuationSeparator" w:id="0">
    <w:p w:rsidR="00DB5AF8" w:rsidRDefault="00DB5AF8" w:rsidP="00DB4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illSans-Light">
    <w:altName w:val="GillSans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Gill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auto"/>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ecilia Light">
    <w:altName w:val="Caecilia Ligh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9110"/>
      <w:docPartObj>
        <w:docPartGallery w:val="Page Numbers (Bottom of Page)"/>
        <w:docPartUnique/>
      </w:docPartObj>
    </w:sdtPr>
    <w:sdtEndPr>
      <w:rPr>
        <w:sz w:val="16"/>
        <w:szCs w:val="16"/>
      </w:rPr>
    </w:sdtEndPr>
    <w:sdtContent>
      <w:p w:rsidR="00DB5AF8" w:rsidRPr="00F451DE" w:rsidRDefault="007661A0">
        <w:pPr>
          <w:pStyle w:val="Footer"/>
          <w:jc w:val="right"/>
          <w:rPr>
            <w:sz w:val="16"/>
            <w:szCs w:val="16"/>
          </w:rPr>
        </w:pPr>
        <w:r w:rsidRPr="00F451DE">
          <w:rPr>
            <w:sz w:val="16"/>
            <w:szCs w:val="16"/>
          </w:rPr>
          <w:fldChar w:fldCharType="begin"/>
        </w:r>
        <w:r w:rsidR="00DB5AF8" w:rsidRPr="00F451DE">
          <w:rPr>
            <w:sz w:val="16"/>
            <w:szCs w:val="16"/>
          </w:rPr>
          <w:instrText xml:space="preserve"> PAGE   \* MERGEFORMAT </w:instrText>
        </w:r>
        <w:r w:rsidRPr="00F451DE">
          <w:rPr>
            <w:sz w:val="16"/>
            <w:szCs w:val="16"/>
          </w:rPr>
          <w:fldChar w:fldCharType="separate"/>
        </w:r>
        <w:r w:rsidR="00D16CA5">
          <w:rPr>
            <w:noProof/>
            <w:sz w:val="16"/>
            <w:szCs w:val="16"/>
          </w:rPr>
          <w:t>1</w:t>
        </w:r>
        <w:r w:rsidRPr="00F451DE">
          <w:rPr>
            <w:sz w:val="16"/>
            <w:szCs w:val="16"/>
          </w:rPr>
          <w:fldChar w:fldCharType="end"/>
        </w:r>
      </w:p>
    </w:sdtContent>
  </w:sdt>
  <w:p w:rsidR="00DB5AF8" w:rsidRDefault="00DB5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F8" w:rsidRDefault="00DB5AF8" w:rsidP="00DB44DC">
      <w:pPr>
        <w:spacing w:after="0" w:line="240" w:lineRule="auto"/>
      </w:pPr>
      <w:r>
        <w:separator/>
      </w:r>
    </w:p>
  </w:footnote>
  <w:footnote w:type="continuationSeparator" w:id="0">
    <w:p w:rsidR="00DB5AF8" w:rsidRDefault="00DB5AF8" w:rsidP="00DB4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F8" w:rsidRPr="009C0E07" w:rsidRDefault="00DB5AF8">
    <w:pPr>
      <w:pStyle w:val="Header"/>
      <w:rPr>
        <w:rFonts w:cs="Arial"/>
        <w:color w:val="808080" w:themeColor="background1" w:themeShade="80"/>
        <w:sz w:val="20"/>
        <w:szCs w:val="20"/>
      </w:rPr>
    </w:pPr>
    <w:r w:rsidRPr="009C0E07">
      <w:rPr>
        <w:rFonts w:cs="Arial"/>
        <w:color w:val="808080" w:themeColor="background1" w:themeShade="8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A47141"/>
    <w:multiLevelType w:val="hybridMultilevel"/>
    <w:tmpl w:val="E835B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74096"/>
    <w:multiLevelType w:val="hybridMultilevel"/>
    <w:tmpl w:val="E1E81E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64C3F2F"/>
    <w:multiLevelType w:val="hybridMultilevel"/>
    <w:tmpl w:val="7C763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97A20"/>
    <w:multiLevelType w:val="hybridMultilevel"/>
    <w:tmpl w:val="C3D8DB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729719F"/>
    <w:multiLevelType w:val="hybridMultilevel"/>
    <w:tmpl w:val="821A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4D494B"/>
    <w:multiLevelType w:val="hybridMultilevel"/>
    <w:tmpl w:val="2E9A3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A836E9D"/>
    <w:multiLevelType w:val="hybridMultilevel"/>
    <w:tmpl w:val="5ADAC1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A7519A"/>
    <w:multiLevelType w:val="hybridMultilevel"/>
    <w:tmpl w:val="7CFA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7822FB"/>
    <w:multiLevelType w:val="hybridMultilevel"/>
    <w:tmpl w:val="5B148E1C"/>
    <w:lvl w:ilvl="0" w:tplc="0C090003">
      <w:start w:val="1"/>
      <w:numFmt w:val="bullet"/>
      <w:lvlText w:val="o"/>
      <w:lvlJc w:val="left"/>
      <w:pPr>
        <w:ind w:left="1080" w:hanging="360"/>
      </w:pPr>
      <w:rPr>
        <w:rFonts w:ascii="Courier New" w:hAnsi="Courier Ne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D76222D"/>
    <w:multiLevelType w:val="hybridMultilevel"/>
    <w:tmpl w:val="B9FC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F15C55"/>
    <w:multiLevelType w:val="hybridMultilevel"/>
    <w:tmpl w:val="0002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790F2A"/>
    <w:multiLevelType w:val="hybridMultilevel"/>
    <w:tmpl w:val="D182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3B1132"/>
    <w:multiLevelType w:val="hybridMultilevel"/>
    <w:tmpl w:val="A294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148D6"/>
    <w:multiLevelType w:val="hybridMultilevel"/>
    <w:tmpl w:val="02B2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D61CCE"/>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6108A6"/>
    <w:multiLevelType w:val="hybridMultilevel"/>
    <w:tmpl w:val="0FEC4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EF38EF"/>
    <w:multiLevelType w:val="hybridMultilevel"/>
    <w:tmpl w:val="C348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9E17A0"/>
    <w:multiLevelType w:val="hybridMultilevel"/>
    <w:tmpl w:val="FA2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AC348D"/>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D6035"/>
    <w:multiLevelType w:val="hybridMultilevel"/>
    <w:tmpl w:val="1D6E48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22110D4E"/>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EF3065"/>
    <w:multiLevelType w:val="hybridMultilevel"/>
    <w:tmpl w:val="BE2065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nsid w:val="24DE247C"/>
    <w:multiLevelType w:val="hybridMultilevel"/>
    <w:tmpl w:val="BDFA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6FA76F2"/>
    <w:multiLevelType w:val="hybridMultilevel"/>
    <w:tmpl w:val="C1AEC00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294B6184"/>
    <w:multiLevelType w:val="hybridMultilevel"/>
    <w:tmpl w:val="BB7E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96A0C5F"/>
    <w:multiLevelType w:val="hybridMultilevel"/>
    <w:tmpl w:val="B9B4B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CF85325"/>
    <w:multiLevelType w:val="hybridMultilevel"/>
    <w:tmpl w:val="DB5267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nsid w:val="2EAE04E2"/>
    <w:multiLevelType w:val="hybridMultilevel"/>
    <w:tmpl w:val="187C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15B3B8E"/>
    <w:multiLevelType w:val="multilevel"/>
    <w:tmpl w:val="405EB89C"/>
    <w:lvl w:ilvl="0">
      <w:start w:val="1"/>
      <w:numFmt w:val="bullet"/>
      <w:pStyle w:val="ListBullet"/>
      <w:lvlText w:val="•"/>
      <w:lvlJc w:val="left"/>
      <w:pPr>
        <w:ind w:left="340" w:hanging="340"/>
      </w:pPr>
      <w:rPr>
        <w:rFonts w:ascii="Garamond" w:hAnsi="Garamond" w:hint="default"/>
      </w:rPr>
    </w:lvl>
    <w:lvl w:ilvl="1">
      <w:start w:val="1"/>
      <w:numFmt w:val="bullet"/>
      <w:pStyle w:val="ListBullet2"/>
      <w:lvlText w:val="−"/>
      <w:lvlJc w:val="left"/>
      <w:pPr>
        <w:ind w:left="680" w:hanging="340"/>
      </w:pPr>
      <w:rPr>
        <w:rFonts w:ascii="Garamond" w:hAnsi="Garamond" w:hint="default"/>
        <w:sz w:val="24"/>
      </w:rPr>
    </w:lvl>
    <w:lvl w:ilvl="2">
      <w:start w:val="1"/>
      <w:numFmt w:val="bullet"/>
      <w:pStyle w:val="ListBullet3"/>
      <w:lvlText w:val="…"/>
      <w:lvlJc w:val="left"/>
      <w:pPr>
        <w:ind w:left="1020" w:hanging="340"/>
      </w:pPr>
      <w:rPr>
        <w:rFonts w:ascii="Garamond" w:hAnsi="Garamond" w:hint="default"/>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0">
    <w:nsid w:val="32214CD6"/>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284C67"/>
    <w:multiLevelType w:val="hybridMultilevel"/>
    <w:tmpl w:val="8CBA5844"/>
    <w:lvl w:ilvl="0" w:tplc="3012770E">
      <w:start w:val="1"/>
      <w:numFmt w:val="bullet"/>
      <w:lvlText w:val=""/>
      <w:lvlJc w:val="left"/>
      <w:pPr>
        <w:ind w:left="119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3E92880"/>
    <w:multiLevelType w:val="hybridMultilevel"/>
    <w:tmpl w:val="F5B8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6DA7EED"/>
    <w:multiLevelType w:val="hybridMultilevel"/>
    <w:tmpl w:val="4F2CD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7574AC1"/>
    <w:multiLevelType w:val="hybridMultilevel"/>
    <w:tmpl w:val="D90E7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A1A38A7"/>
    <w:multiLevelType w:val="hybridMultilevel"/>
    <w:tmpl w:val="366E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B8A5D8D"/>
    <w:multiLevelType w:val="hybridMultilevel"/>
    <w:tmpl w:val="539C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0E303A"/>
    <w:multiLevelType w:val="hybridMultilevel"/>
    <w:tmpl w:val="B34A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3D28DA"/>
    <w:multiLevelType w:val="hybridMultilevel"/>
    <w:tmpl w:val="AB40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0C05287"/>
    <w:multiLevelType w:val="hybridMultilevel"/>
    <w:tmpl w:val="B838B4FA"/>
    <w:lvl w:ilvl="0" w:tplc="6524754C">
      <w:start w:val="1"/>
      <w:numFmt w:val="bullet"/>
      <w:lvlText w:val=""/>
      <w:lvlJc w:val="left"/>
      <w:pPr>
        <w:ind w:left="720" w:hanging="360"/>
      </w:pPr>
      <w:rPr>
        <w:rFonts w:ascii="Symbol" w:hAnsi="Symbol" w:hint="default"/>
      </w:rPr>
    </w:lvl>
    <w:lvl w:ilvl="1" w:tplc="633EACC6" w:tentative="1">
      <w:start w:val="1"/>
      <w:numFmt w:val="bullet"/>
      <w:lvlText w:val="o"/>
      <w:lvlJc w:val="left"/>
      <w:pPr>
        <w:ind w:left="1440" w:hanging="360"/>
      </w:pPr>
      <w:rPr>
        <w:rFonts w:ascii="Courier New" w:hAnsi="Courier New" w:cs="Courier New" w:hint="default"/>
      </w:rPr>
    </w:lvl>
    <w:lvl w:ilvl="2" w:tplc="ACCA58E8" w:tentative="1">
      <w:start w:val="1"/>
      <w:numFmt w:val="bullet"/>
      <w:lvlText w:val=""/>
      <w:lvlJc w:val="left"/>
      <w:pPr>
        <w:ind w:left="2160" w:hanging="360"/>
      </w:pPr>
      <w:rPr>
        <w:rFonts w:ascii="Wingdings" w:hAnsi="Wingdings" w:hint="default"/>
      </w:rPr>
    </w:lvl>
    <w:lvl w:ilvl="3" w:tplc="4B903526" w:tentative="1">
      <w:start w:val="1"/>
      <w:numFmt w:val="bullet"/>
      <w:lvlText w:val=""/>
      <w:lvlJc w:val="left"/>
      <w:pPr>
        <w:ind w:left="2880" w:hanging="360"/>
      </w:pPr>
      <w:rPr>
        <w:rFonts w:ascii="Symbol" w:hAnsi="Symbol" w:hint="default"/>
      </w:rPr>
    </w:lvl>
    <w:lvl w:ilvl="4" w:tplc="5A307A00" w:tentative="1">
      <w:start w:val="1"/>
      <w:numFmt w:val="bullet"/>
      <w:lvlText w:val="o"/>
      <w:lvlJc w:val="left"/>
      <w:pPr>
        <w:ind w:left="3600" w:hanging="360"/>
      </w:pPr>
      <w:rPr>
        <w:rFonts w:ascii="Courier New" w:hAnsi="Courier New" w:cs="Courier New" w:hint="default"/>
      </w:rPr>
    </w:lvl>
    <w:lvl w:ilvl="5" w:tplc="CA6ABE42" w:tentative="1">
      <w:start w:val="1"/>
      <w:numFmt w:val="bullet"/>
      <w:lvlText w:val=""/>
      <w:lvlJc w:val="left"/>
      <w:pPr>
        <w:ind w:left="4320" w:hanging="360"/>
      </w:pPr>
      <w:rPr>
        <w:rFonts w:ascii="Wingdings" w:hAnsi="Wingdings" w:hint="default"/>
      </w:rPr>
    </w:lvl>
    <w:lvl w:ilvl="6" w:tplc="9A4499AE" w:tentative="1">
      <w:start w:val="1"/>
      <w:numFmt w:val="bullet"/>
      <w:lvlText w:val=""/>
      <w:lvlJc w:val="left"/>
      <w:pPr>
        <w:ind w:left="5040" w:hanging="360"/>
      </w:pPr>
      <w:rPr>
        <w:rFonts w:ascii="Symbol" w:hAnsi="Symbol" w:hint="default"/>
      </w:rPr>
    </w:lvl>
    <w:lvl w:ilvl="7" w:tplc="31AE2574" w:tentative="1">
      <w:start w:val="1"/>
      <w:numFmt w:val="bullet"/>
      <w:lvlText w:val="o"/>
      <w:lvlJc w:val="left"/>
      <w:pPr>
        <w:ind w:left="5760" w:hanging="360"/>
      </w:pPr>
      <w:rPr>
        <w:rFonts w:ascii="Courier New" w:hAnsi="Courier New" w:cs="Courier New" w:hint="default"/>
      </w:rPr>
    </w:lvl>
    <w:lvl w:ilvl="8" w:tplc="29F04D9E" w:tentative="1">
      <w:start w:val="1"/>
      <w:numFmt w:val="bullet"/>
      <w:lvlText w:val=""/>
      <w:lvlJc w:val="left"/>
      <w:pPr>
        <w:ind w:left="6480" w:hanging="360"/>
      </w:pPr>
      <w:rPr>
        <w:rFonts w:ascii="Wingdings" w:hAnsi="Wingdings" w:hint="default"/>
      </w:rPr>
    </w:lvl>
  </w:abstractNum>
  <w:abstractNum w:abstractNumId="40">
    <w:nsid w:val="432071DB"/>
    <w:multiLevelType w:val="hybridMultilevel"/>
    <w:tmpl w:val="56266666"/>
    <w:lvl w:ilvl="0" w:tplc="3012770E">
      <w:start w:val="1"/>
      <w:numFmt w:val="bullet"/>
      <w:lvlText w:val=""/>
      <w:lvlJc w:val="left"/>
      <w:pPr>
        <w:ind w:left="1195" w:hanging="360"/>
      </w:pPr>
      <w:rPr>
        <w:rFonts w:ascii="Symbol" w:hAnsi="Symbol" w:hint="default"/>
      </w:rPr>
    </w:lvl>
    <w:lvl w:ilvl="1" w:tplc="D0CC9964">
      <w:start w:val="1"/>
      <w:numFmt w:val="bullet"/>
      <w:lvlText w:val=""/>
      <w:lvlJc w:val="left"/>
      <w:pPr>
        <w:ind w:left="1915" w:hanging="360"/>
      </w:pPr>
      <w:rPr>
        <w:rFonts w:ascii="Symbol" w:hAnsi="Symbol" w:hint="default"/>
      </w:rPr>
    </w:lvl>
    <w:lvl w:ilvl="2" w:tplc="08B66750">
      <w:start w:val="1"/>
      <w:numFmt w:val="bullet"/>
      <w:lvlText w:val=""/>
      <w:lvlJc w:val="left"/>
      <w:pPr>
        <w:ind w:left="2635" w:hanging="360"/>
      </w:pPr>
      <w:rPr>
        <w:rFonts w:ascii="Wingdings" w:hAnsi="Wingdings" w:hint="default"/>
      </w:rPr>
    </w:lvl>
    <w:lvl w:ilvl="3" w:tplc="F490F880" w:tentative="1">
      <w:start w:val="1"/>
      <w:numFmt w:val="bullet"/>
      <w:lvlText w:val=""/>
      <w:lvlJc w:val="left"/>
      <w:pPr>
        <w:ind w:left="3355" w:hanging="360"/>
      </w:pPr>
      <w:rPr>
        <w:rFonts w:ascii="Symbol" w:hAnsi="Symbol" w:hint="default"/>
      </w:rPr>
    </w:lvl>
    <w:lvl w:ilvl="4" w:tplc="EDB26D08" w:tentative="1">
      <w:start w:val="1"/>
      <w:numFmt w:val="bullet"/>
      <w:lvlText w:val="o"/>
      <w:lvlJc w:val="left"/>
      <w:pPr>
        <w:ind w:left="4075" w:hanging="360"/>
      </w:pPr>
      <w:rPr>
        <w:rFonts w:ascii="Courier New" w:hAnsi="Courier New" w:cs="Courier New" w:hint="default"/>
      </w:rPr>
    </w:lvl>
    <w:lvl w:ilvl="5" w:tplc="53160D86" w:tentative="1">
      <w:start w:val="1"/>
      <w:numFmt w:val="bullet"/>
      <w:lvlText w:val=""/>
      <w:lvlJc w:val="left"/>
      <w:pPr>
        <w:ind w:left="4795" w:hanging="360"/>
      </w:pPr>
      <w:rPr>
        <w:rFonts w:ascii="Wingdings" w:hAnsi="Wingdings" w:hint="default"/>
      </w:rPr>
    </w:lvl>
    <w:lvl w:ilvl="6" w:tplc="282A1C82" w:tentative="1">
      <w:start w:val="1"/>
      <w:numFmt w:val="bullet"/>
      <w:lvlText w:val=""/>
      <w:lvlJc w:val="left"/>
      <w:pPr>
        <w:ind w:left="5515" w:hanging="360"/>
      </w:pPr>
      <w:rPr>
        <w:rFonts w:ascii="Symbol" w:hAnsi="Symbol" w:hint="default"/>
      </w:rPr>
    </w:lvl>
    <w:lvl w:ilvl="7" w:tplc="0188085E" w:tentative="1">
      <w:start w:val="1"/>
      <w:numFmt w:val="bullet"/>
      <w:lvlText w:val="o"/>
      <w:lvlJc w:val="left"/>
      <w:pPr>
        <w:ind w:left="6235" w:hanging="360"/>
      </w:pPr>
      <w:rPr>
        <w:rFonts w:ascii="Courier New" w:hAnsi="Courier New" w:cs="Courier New" w:hint="default"/>
      </w:rPr>
    </w:lvl>
    <w:lvl w:ilvl="8" w:tplc="7994B4C8" w:tentative="1">
      <w:start w:val="1"/>
      <w:numFmt w:val="bullet"/>
      <w:lvlText w:val=""/>
      <w:lvlJc w:val="left"/>
      <w:pPr>
        <w:ind w:left="6955" w:hanging="360"/>
      </w:pPr>
      <w:rPr>
        <w:rFonts w:ascii="Wingdings" w:hAnsi="Wingdings" w:hint="default"/>
      </w:rPr>
    </w:lvl>
  </w:abstractNum>
  <w:abstractNum w:abstractNumId="41">
    <w:nsid w:val="440F3B4A"/>
    <w:multiLevelType w:val="hybridMultilevel"/>
    <w:tmpl w:val="2E76DB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48A2C41"/>
    <w:multiLevelType w:val="hybridMultilevel"/>
    <w:tmpl w:val="F328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7A53B97"/>
    <w:multiLevelType w:val="hybridMultilevel"/>
    <w:tmpl w:val="9AF4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7DA2C48"/>
    <w:multiLevelType w:val="hybridMultilevel"/>
    <w:tmpl w:val="24287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8105EF5"/>
    <w:multiLevelType w:val="hybridMultilevel"/>
    <w:tmpl w:val="B8564E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6">
    <w:nsid w:val="487570F7"/>
    <w:multiLevelType w:val="hybridMultilevel"/>
    <w:tmpl w:val="F9D4F10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49CE3ACB"/>
    <w:multiLevelType w:val="hybridMultilevel"/>
    <w:tmpl w:val="6FDA7982"/>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BCA40FB"/>
    <w:multiLevelType w:val="hybridMultilevel"/>
    <w:tmpl w:val="4862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C4402E7"/>
    <w:multiLevelType w:val="hybridMultilevel"/>
    <w:tmpl w:val="095EB8E4"/>
    <w:lvl w:ilvl="0" w:tplc="7F427FC8">
      <w:start w:val="1"/>
      <w:numFmt w:val="bullet"/>
      <w:lvlText w:val=""/>
      <w:lvlJc w:val="left"/>
      <w:pPr>
        <w:ind w:left="720" w:hanging="360"/>
      </w:pPr>
      <w:rPr>
        <w:rFonts w:ascii="Symbol" w:hAnsi="Symbol" w:hint="default"/>
      </w:rPr>
    </w:lvl>
    <w:lvl w:ilvl="1" w:tplc="7D0CA262" w:tentative="1">
      <w:start w:val="1"/>
      <w:numFmt w:val="bullet"/>
      <w:lvlText w:val="o"/>
      <w:lvlJc w:val="left"/>
      <w:pPr>
        <w:ind w:left="1440" w:hanging="360"/>
      </w:pPr>
      <w:rPr>
        <w:rFonts w:ascii="Courier New" w:hAnsi="Courier New" w:cs="Courier New" w:hint="default"/>
      </w:rPr>
    </w:lvl>
    <w:lvl w:ilvl="2" w:tplc="2A2084AE" w:tentative="1">
      <w:start w:val="1"/>
      <w:numFmt w:val="bullet"/>
      <w:lvlText w:val=""/>
      <w:lvlJc w:val="left"/>
      <w:pPr>
        <w:ind w:left="2160" w:hanging="360"/>
      </w:pPr>
      <w:rPr>
        <w:rFonts w:ascii="Wingdings" w:hAnsi="Wingdings" w:hint="default"/>
      </w:rPr>
    </w:lvl>
    <w:lvl w:ilvl="3" w:tplc="9508CA68" w:tentative="1">
      <w:start w:val="1"/>
      <w:numFmt w:val="bullet"/>
      <w:lvlText w:val=""/>
      <w:lvlJc w:val="left"/>
      <w:pPr>
        <w:ind w:left="2880" w:hanging="360"/>
      </w:pPr>
      <w:rPr>
        <w:rFonts w:ascii="Symbol" w:hAnsi="Symbol" w:hint="default"/>
      </w:rPr>
    </w:lvl>
    <w:lvl w:ilvl="4" w:tplc="75E65420" w:tentative="1">
      <w:start w:val="1"/>
      <w:numFmt w:val="bullet"/>
      <w:lvlText w:val="o"/>
      <w:lvlJc w:val="left"/>
      <w:pPr>
        <w:ind w:left="3600" w:hanging="360"/>
      </w:pPr>
      <w:rPr>
        <w:rFonts w:ascii="Courier New" w:hAnsi="Courier New" w:cs="Courier New" w:hint="default"/>
      </w:rPr>
    </w:lvl>
    <w:lvl w:ilvl="5" w:tplc="AF8AE472" w:tentative="1">
      <w:start w:val="1"/>
      <w:numFmt w:val="bullet"/>
      <w:lvlText w:val=""/>
      <w:lvlJc w:val="left"/>
      <w:pPr>
        <w:ind w:left="4320" w:hanging="360"/>
      </w:pPr>
      <w:rPr>
        <w:rFonts w:ascii="Wingdings" w:hAnsi="Wingdings" w:hint="default"/>
      </w:rPr>
    </w:lvl>
    <w:lvl w:ilvl="6" w:tplc="89503EB0" w:tentative="1">
      <w:start w:val="1"/>
      <w:numFmt w:val="bullet"/>
      <w:lvlText w:val=""/>
      <w:lvlJc w:val="left"/>
      <w:pPr>
        <w:ind w:left="5040" w:hanging="360"/>
      </w:pPr>
      <w:rPr>
        <w:rFonts w:ascii="Symbol" w:hAnsi="Symbol" w:hint="default"/>
      </w:rPr>
    </w:lvl>
    <w:lvl w:ilvl="7" w:tplc="7046BC60" w:tentative="1">
      <w:start w:val="1"/>
      <w:numFmt w:val="bullet"/>
      <w:lvlText w:val="o"/>
      <w:lvlJc w:val="left"/>
      <w:pPr>
        <w:ind w:left="5760" w:hanging="360"/>
      </w:pPr>
      <w:rPr>
        <w:rFonts w:ascii="Courier New" w:hAnsi="Courier New" w:cs="Courier New" w:hint="default"/>
      </w:rPr>
    </w:lvl>
    <w:lvl w:ilvl="8" w:tplc="5C7A1CBC" w:tentative="1">
      <w:start w:val="1"/>
      <w:numFmt w:val="bullet"/>
      <w:lvlText w:val=""/>
      <w:lvlJc w:val="left"/>
      <w:pPr>
        <w:ind w:left="6480" w:hanging="360"/>
      </w:pPr>
      <w:rPr>
        <w:rFonts w:ascii="Wingdings" w:hAnsi="Wingdings" w:hint="default"/>
      </w:rPr>
    </w:lvl>
  </w:abstractNum>
  <w:abstractNum w:abstractNumId="50">
    <w:nsid w:val="4CA927F7"/>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F525446"/>
    <w:multiLevelType w:val="hybridMultilevel"/>
    <w:tmpl w:val="83D8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FA22E34"/>
    <w:multiLevelType w:val="hybridMultilevel"/>
    <w:tmpl w:val="69A08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5AD1A6F"/>
    <w:multiLevelType w:val="hybridMultilevel"/>
    <w:tmpl w:val="9DA2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85E666C"/>
    <w:multiLevelType w:val="multilevel"/>
    <w:tmpl w:val="FD8C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910456"/>
    <w:multiLevelType w:val="hybridMultilevel"/>
    <w:tmpl w:val="F6829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DD343DF"/>
    <w:multiLevelType w:val="hybridMultilevel"/>
    <w:tmpl w:val="E3328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25E876DA">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1954DAD"/>
    <w:multiLevelType w:val="hybridMultilevel"/>
    <w:tmpl w:val="59EC0AE8"/>
    <w:lvl w:ilvl="0" w:tplc="FFEA6142">
      <w:start w:val="1"/>
      <w:numFmt w:val="bullet"/>
      <w:lvlText w:val=""/>
      <w:lvlJc w:val="left"/>
      <w:pPr>
        <w:ind w:left="720" w:hanging="360"/>
      </w:pPr>
      <w:rPr>
        <w:rFonts w:ascii="Symbol" w:hAnsi="Symbol" w:hint="default"/>
      </w:rPr>
    </w:lvl>
    <w:lvl w:ilvl="1" w:tplc="83C6E880" w:tentative="1">
      <w:start w:val="1"/>
      <w:numFmt w:val="bullet"/>
      <w:lvlText w:val="o"/>
      <w:lvlJc w:val="left"/>
      <w:pPr>
        <w:ind w:left="1440" w:hanging="360"/>
      </w:pPr>
      <w:rPr>
        <w:rFonts w:ascii="Courier New" w:hAnsi="Courier New" w:cs="Courier New" w:hint="default"/>
      </w:rPr>
    </w:lvl>
    <w:lvl w:ilvl="2" w:tplc="079896E0" w:tentative="1">
      <w:start w:val="1"/>
      <w:numFmt w:val="bullet"/>
      <w:lvlText w:val=""/>
      <w:lvlJc w:val="left"/>
      <w:pPr>
        <w:ind w:left="2160" w:hanging="360"/>
      </w:pPr>
      <w:rPr>
        <w:rFonts w:ascii="Wingdings" w:hAnsi="Wingdings" w:hint="default"/>
      </w:rPr>
    </w:lvl>
    <w:lvl w:ilvl="3" w:tplc="881403CE" w:tentative="1">
      <w:start w:val="1"/>
      <w:numFmt w:val="bullet"/>
      <w:lvlText w:val=""/>
      <w:lvlJc w:val="left"/>
      <w:pPr>
        <w:ind w:left="2880" w:hanging="360"/>
      </w:pPr>
      <w:rPr>
        <w:rFonts w:ascii="Symbol" w:hAnsi="Symbol" w:hint="default"/>
      </w:rPr>
    </w:lvl>
    <w:lvl w:ilvl="4" w:tplc="57EC71CA" w:tentative="1">
      <w:start w:val="1"/>
      <w:numFmt w:val="bullet"/>
      <w:lvlText w:val="o"/>
      <w:lvlJc w:val="left"/>
      <w:pPr>
        <w:ind w:left="3600" w:hanging="360"/>
      </w:pPr>
      <w:rPr>
        <w:rFonts w:ascii="Courier New" w:hAnsi="Courier New" w:cs="Courier New" w:hint="default"/>
      </w:rPr>
    </w:lvl>
    <w:lvl w:ilvl="5" w:tplc="CBD68602" w:tentative="1">
      <w:start w:val="1"/>
      <w:numFmt w:val="bullet"/>
      <w:lvlText w:val=""/>
      <w:lvlJc w:val="left"/>
      <w:pPr>
        <w:ind w:left="4320" w:hanging="360"/>
      </w:pPr>
      <w:rPr>
        <w:rFonts w:ascii="Wingdings" w:hAnsi="Wingdings" w:hint="default"/>
      </w:rPr>
    </w:lvl>
    <w:lvl w:ilvl="6" w:tplc="9FCCE878" w:tentative="1">
      <w:start w:val="1"/>
      <w:numFmt w:val="bullet"/>
      <w:lvlText w:val=""/>
      <w:lvlJc w:val="left"/>
      <w:pPr>
        <w:ind w:left="5040" w:hanging="360"/>
      </w:pPr>
      <w:rPr>
        <w:rFonts w:ascii="Symbol" w:hAnsi="Symbol" w:hint="default"/>
      </w:rPr>
    </w:lvl>
    <w:lvl w:ilvl="7" w:tplc="FE36F780" w:tentative="1">
      <w:start w:val="1"/>
      <w:numFmt w:val="bullet"/>
      <w:lvlText w:val="o"/>
      <w:lvlJc w:val="left"/>
      <w:pPr>
        <w:ind w:left="5760" w:hanging="360"/>
      </w:pPr>
      <w:rPr>
        <w:rFonts w:ascii="Courier New" w:hAnsi="Courier New" w:cs="Courier New" w:hint="default"/>
      </w:rPr>
    </w:lvl>
    <w:lvl w:ilvl="8" w:tplc="6F1281B2" w:tentative="1">
      <w:start w:val="1"/>
      <w:numFmt w:val="bullet"/>
      <w:lvlText w:val=""/>
      <w:lvlJc w:val="left"/>
      <w:pPr>
        <w:ind w:left="6480" w:hanging="360"/>
      </w:pPr>
      <w:rPr>
        <w:rFonts w:ascii="Wingdings" w:hAnsi="Wingdings" w:hint="default"/>
      </w:rPr>
    </w:lvl>
  </w:abstractNum>
  <w:abstractNum w:abstractNumId="58">
    <w:nsid w:val="640C7D0A"/>
    <w:multiLevelType w:val="hybridMultilevel"/>
    <w:tmpl w:val="CAAA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4DF0159"/>
    <w:multiLevelType w:val="hybridMultilevel"/>
    <w:tmpl w:val="E28C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64B1D26"/>
    <w:multiLevelType w:val="hybridMultilevel"/>
    <w:tmpl w:val="DE1682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nsid w:val="664B254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nsid w:val="67BB4EAB"/>
    <w:multiLevelType w:val="hybridMultilevel"/>
    <w:tmpl w:val="8A28B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B530E05"/>
    <w:multiLevelType w:val="hybridMultilevel"/>
    <w:tmpl w:val="2218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33C2781"/>
    <w:multiLevelType w:val="hybridMultilevel"/>
    <w:tmpl w:val="54CA3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6336397"/>
    <w:multiLevelType w:val="hybridMultilevel"/>
    <w:tmpl w:val="DE2A8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9E404AD"/>
    <w:multiLevelType w:val="hybridMultilevel"/>
    <w:tmpl w:val="2754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A684C5B"/>
    <w:multiLevelType w:val="hybridMultilevel"/>
    <w:tmpl w:val="2DC65D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8">
    <w:nsid w:val="7D305DF9"/>
    <w:multiLevelType w:val="hybridMultilevel"/>
    <w:tmpl w:val="D3C2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DB562A4"/>
    <w:multiLevelType w:val="multilevel"/>
    <w:tmpl w:val="1BA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0E224E"/>
    <w:multiLevelType w:val="hybridMultilevel"/>
    <w:tmpl w:val="9B64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F7B59FA"/>
    <w:multiLevelType w:val="hybridMultilevel"/>
    <w:tmpl w:val="06C4F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1"/>
  </w:num>
  <w:num w:numId="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5"/>
  </w:num>
  <w:num w:numId="5">
    <w:abstractNumId w:val="56"/>
  </w:num>
  <w:num w:numId="6">
    <w:abstractNumId w:val="34"/>
  </w:num>
  <w:num w:numId="7">
    <w:abstractNumId w:val="3"/>
  </w:num>
  <w:num w:numId="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6"/>
  </w:num>
  <w:num w:numId="11">
    <w:abstractNumId w:val="20"/>
  </w:num>
  <w:num w:numId="12">
    <w:abstractNumId w:val="54"/>
  </w:num>
  <w:num w:numId="13">
    <w:abstractNumId w:val="14"/>
  </w:num>
  <w:num w:numId="14">
    <w:abstractNumId w:val="18"/>
  </w:num>
  <w:num w:numId="15">
    <w:abstractNumId w:val="30"/>
  </w:num>
  <w:num w:numId="16">
    <w:abstractNumId w:val="50"/>
  </w:num>
  <w:num w:numId="17">
    <w:abstractNumId w:val="69"/>
  </w:num>
  <w:num w:numId="18">
    <w:abstractNumId w:val="13"/>
  </w:num>
  <w:num w:numId="19">
    <w:abstractNumId w:val="24"/>
  </w:num>
  <w:num w:numId="20">
    <w:abstractNumId w:val="41"/>
  </w:num>
  <w:num w:numId="21">
    <w:abstractNumId w:val="48"/>
  </w:num>
  <w:num w:numId="22">
    <w:abstractNumId w:val="22"/>
  </w:num>
  <w:num w:numId="23">
    <w:abstractNumId w:val="57"/>
  </w:num>
  <w:num w:numId="24">
    <w:abstractNumId w:val="62"/>
  </w:num>
  <w:num w:numId="25">
    <w:abstractNumId w:val="59"/>
  </w:num>
  <w:num w:numId="26">
    <w:abstractNumId w:val="42"/>
  </w:num>
  <w:num w:numId="27">
    <w:abstractNumId w:val="49"/>
  </w:num>
  <w:num w:numId="28">
    <w:abstractNumId w:val="32"/>
  </w:num>
  <w:num w:numId="29">
    <w:abstractNumId w:val="39"/>
  </w:num>
  <w:num w:numId="30">
    <w:abstractNumId w:val="37"/>
  </w:num>
  <w:num w:numId="31">
    <w:abstractNumId w:val="4"/>
  </w:num>
  <w:num w:numId="32">
    <w:abstractNumId w:val="47"/>
  </w:num>
  <w:num w:numId="33">
    <w:abstractNumId w:val="40"/>
  </w:num>
  <w:num w:numId="34">
    <w:abstractNumId w:val="64"/>
  </w:num>
  <w:num w:numId="35">
    <w:abstractNumId w:val="7"/>
  </w:num>
  <w:num w:numId="36">
    <w:abstractNumId w:val="11"/>
  </w:num>
  <w:num w:numId="37">
    <w:abstractNumId w:val="38"/>
  </w:num>
  <w:num w:numId="38">
    <w:abstractNumId w:val="10"/>
  </w:num>
  <w:num w:numId="39">
    <w:abstractNumId w:val="17"/>
  </w:num>
  <w:num w:numId="40">
    <w:abstractNumId w:val="26"/>
  </w:num>
  <w:num w:numId="41">
    <w:abstractNumId w:val="19"/>
  </w:num>
  <w:num w:numId="42">
    <w:abstractNumId w:val="12"/>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6"/>
  </w:num>
  <w:num w:numId="46">
    <w:abstractNumId w:val="44"/>
  </w:num>
  <w:num w:numId="47">
    <w:abstractNumId w:val="68"/>
  </w:num>
  <w:num w:numId="48">
    <w:abstractNumId w:val="21"/>
  </w:num>
  <w:num w:numId="49">
    <w:abstractNumId w:val="1"/>
  </w:num>
  <w:num w:numId="5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71"/>
  </w:num>
  <w:num w:numId="53">
    <w:abstractNumId w:val="2"/>
  </w:num>
  <w:num w:numId="54">
    <w:abstractNumId w:val="31"/>
  </w:num>
  <w:num w:numId="55">
    <w:abstractNumId w:val="66"/>
  </w:num>
  <w:num w:numId="56">
    <w:abstractNumId w:val="65"/>
  </w:num>
  <w:num w:numId="57">
    <w:abstractNumId w:val="51"/>
  </w:num>
  <w:num w:numId="58">
    <w:abstractNumId w:val="35"/>
  </w:num>
  <w:num w:numId="59">
    <w:abstractNumId w:val="28"/>
  </w:num>
  <w:num w:numId="60">
    <w:abstractNumId w:val="5"/>
  </w:num>
  <w:num w:numId="61">
    <w:abstractNumId w:val="70"/>
  </w:num>
  <w:num w:numId="62">
    <w:abstractNumId w:val="9"/>
  </w:num>
  <w:num w:numId="63">
    <w:abstractNumId w:val="52"/>
  </w:num>
  <w:num w:numId="64">
    <w:abstractNumId w:val="0"/>
  </w:num>
  <w:num w:numId="65">
    <w:abstractNumId w:val="58"/>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63"/>
  </w:num>
  <w:num w:numId="69">
    <w:abstractNumId w:val="36"/>
  </w:num>
  <w:num w:numId="70">
    <w:abstractNumId w:val="25"/>
  </w:num>
  <w:num w:numId="71">
    <w:abstractNumId w:val="8"/>
  </w:num>
  <w:num w:numId="72">
    <w:abstractNumId w:val="4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067AE"/>
    <w:rsid w:val="00003730"/>
    <w:rsid w:val="000042EC"/>
    <w:rsid w:val="00005D1E"/>
    <w:rsid w:val="000118A3"/>
    <w:rsid w:val="0001256A"/>
    <w:rsid w:val="000128F6"/>
    <w:rsid w:val="0001329D"/>
    <w:rsid w:val="00016FC9"/>
    <w:rsid w:val="00017B0A"/>
    <w:rsid w:val="0002042C"/>
    <w:rsid w:val="00020BE4"/>
    <w:rsid w:val="00022357"/>
    <w:rsid w:val="00022FEB"/>
    <w:rsid w:val="000234A8"/>
    <w:rsid w:val="00023DEB"/>
    <w:rsid w:val="00024433"/>
    <w:rsid w:val="00024B9B"/>
    <w:rsid w:val="000250EF"/>
    <w:rsid w:val="0002530B"/>
    <w:rsid w:val="00026A44"/>
    <w:rsid w:val="00026C33"/>
    <w:rsid w:val="000275CF"/>
    <w:rsid w:val="000348FD"/>
    <w:rsid w:val="00034912"/>
    <w:rsid w:val="00035E08"/>
    <w:rsid w:val="0003736B"/>
    <w:rsid w:val="00040AAE"/>
    <w:rsid w:val="00041B22"/>
    <w:rsid w:val="00042944"/>
    <w:rsid w:val="000440F4"/>
    <w:rsid w:val="00044352"/>
    <w:rsid w:val="00052869"/>
    <w:rsid w:val="000554DE"/>
    <w:rsid w:val="00060007"/>
    <w:rsid w:val="00060CEA"/>
    <w:rsid w:val="000612FC"/>
    <w:rsid w:val="00066710"/>
    <w:rsid w:val="000672B7"/>
    <w:rsid w:val="00067ACA"/>
    <w:rsid w:val="00070543"/>
    <w:rsid w:val="000709F9"/>
    <w:rsid w:val="000711C0"/>
    <w:rsid w:val="00071B9F"/>
    <w:rsid w:val="0007348E"/>
    <w:rsid w:val="0007378C"/>
    <w:rsid w:val="000741C3"/>
    <w:rsid w:val="0007484D"/>
    <w:rsid w:val="00075237"/>
    <w:rsid w:val="000774A3"/>
    <w:rsid w:val="000823B7"/>
    <w:rsid w:val="00082AA6"/>
    <w:rsid w:val="000832DA"/>
    <w:rsid w:val="000857E7"/>
    <w:rsid w:val="000862C7"/>
    <w:rsid w:val="00086AD3"/>
    <w:rsid w:val="00087632"/>
    <w:rsid w:val="00087873"/>
    <w:rsid w:val="00087C78"/>
    <w:rsid w:val="00090093"/>
    <w:rsid w:val="000919B7"/>
    <w:rsid w:val="00092825"/>
    <w:rsid w:val="00092D50"/>
    <w:rsid w:val="00093A61"/>
    <w:rsid w:val="00093B32"/>
    <w:rsid w:val="000A0284"/>
    <w:rsid w:val="000A40F1"/>
    <w:rsid w:val="000A4A51"/>
    <w:rsid w:val="000A772B"/>
    <w:rsid w:val="000B0906"/>
    <w:rsid w:val="000B3E6D"/>
    <w:rsid w:val="000B40EA"/>
    <w:rsid w:val="000B4134"/>
    <w:rsid w:val="000B5683"/>
    <w:rsid w:val="000B56AB"/>
    <w:rsid w:val="000B60DA"/>
    <w:rsid w:val="000C7E99"/>
    <w:rsid w:val="000C7EB1"/>
    <w:rsid w:val="000D099E"/>
    <w:rsid w:val="000D1A17"/>
    <w:rsid w:val="000D1D08"/>
    <w:rsid w:val="000D1E2E"/>
    <w:rsid w:val="000D2CE5"/>
    <w:rsid w:val="000D3029"/>
    <w:rsid w:val="000D4376"/>
    <w:rsid w:val="000D4B36"/>
    <w:rsid w:val="000D67AB"/>
    <w:rsid w:val="000E1C35"/>
    <w:rsid w:val="000E3FCA"/>
    <w:rsid w:val="000E4DB3"/>
    <w:rsid w:val="000E6976"/>
    <w:rsid w:val="000E755F"/>
    <w:rsid w:val="000F0971"/>
    <w:rsid w:val="000F38FB"/>
    <w:rsid w:val="000F5995"/>
    <w:rsid w:val="000F6328"/>
    <w:rsid w:val="000F6A4F"/>
    <w:rsid w:val="0010191E"/>
    <w:rsid w:val="001033A9"/>
    <w:rsid w:val="00104CB7"/>
    <w:rsid w:val="00107BD8"/>
    <w:rsid w:val="00107F83"/>
    <w:rsid w:val="0011019D"/>
    <w:rsid w:val="00110DBF"/>
    <w:rsid w:val="001126AB"/>
    <w:rsid w:val="00113473"/>
    <w:rsid w:val="001138C8"/>
    <w:rsid w:val="00113DF4"/>
    <w:rsid w:val="00114B84"/>
    <w:rsid w:val="00115E92"/>
    <w:rsid w:val="00115EEA"/>
    <w:rsid w:val="00116701"/>
    <w:rsid w:val="00116E13"/>
    <w:rsid w:val="00116FFD"/>
    <w:rsid w:val="00117667"/>
    <w:rsid w:val="00117986"/>
    <w:rsid w:val="00117AFB"/>
    <w:rsid w:val="0012009E"/>
    <w:rsid w:val="00121727"/>
    <w:rsid w:val="00122724"/>
    <w:rsid w:val="00126A85"/>
    <w:rsid w:val="00126BC8"/>
    <w:rsid w:val="001276F4"/>
    <w:rsid w:val="0013339A"/>
    <w:rsid w:val="001340DC"/>
    <w:rsid w:val="00134544"/>
    <w:rsid w:val="00135541"/>
    <w:rsid w:val="00137D5D"/>
    <w:rsid w:val="0014039D"/>
    <w:rsid w:val="00140661"/>
    <w:rsid w:val="001407A1"/>
    <w:rsid w:val="001409E2"/>
    <w:rsid w:val="00140BBC"/>
    <w:rsid w:val="00141343"/>
    <w:rsid w:val="0014142D"/>
    <w:rsid w:val="00141460"/>
    <w:rsid w:val="001414DB"/>
    <w:rsid w:val="00144472"/>
    <w:rsid w:val="001458B1"/>
    <w:rsid w:val="001472C6"/>
    <w:rsid w:val="00147F7C"/>
    <w:rsid w:val="00151C03"/>
    <w:rsid w:val="001520E5"/>
    <w:rsid w:val="0015228A"/>
    <w:rsid w:val="001526D9"/>
    <w:rsid w:val="0015286B"/>
    <w:rsid w:val="00153873"/>
    <w:rsid w:val="00155A52"/>
    <w:rsid w:val="001564CD"/>
    <w:rsid w:val="001567FE"/>
    <w:rsid w:val="00157926"/>
    <w:rsid w:val="00157CE3"/>
    <w:rsid w:val="00161C47"/>
    <w:rsid w:val="00162E62"/>
    <w:rsid w:val="00163241"/>
    <w:rsid w:val="00165CA6"/>
    <w:rsid w:val="001668AF"/>
    <w:rsid w:val="0016753E"/>
    <w:rsid w:val="001704E3"/>
    <w:rsid w:val="001716DE"/>
    <w:rsid w:val="001722C6"/>
    <w:rsid w:val="00172AEC"/>
    <w:rsid w:val="00172B3C"/>
    <w:rsid w:val="00174BEF"/>
    <w:rsid w:val="001764FD"/>
    <w:rsid w:val="0017655D"/>
    <w:rsid w:val="001767F1"/>
    <w:rsid w:val="001775EE"/>
    <w:rsid w:val="001776BD"/>
    <w:rsid w:val="00180A99"/>
    <w:rsid w:val="001818DE"/>
    <w:rsid w:val="00181BA5"/>
    <w:rsid w:val="001820C9"/>
    <w:rsid w:val="0018273B"/>
    <w:rsid w:val="00182890"/>
    <w:rsid w:val="00182BAA"/>
    <w:rsid w:val="00182DA4"/>
    <w:rsid w:val="00183EED"/>
    <w:rsid w:val="001845E3"/>
    <w:rsid w:val="00185DA8"/>
    <w:rsid w:val="00185DD4"/>
    <w:rsid w:val="0019086C"/>
    <w:rsid w:val="00191754"/>
    <w:rsid w:val="00191EB7"/>
    <w:rsid w:val="00192543"/>
    <w:rsid w:val="0019259B"/>
    <w:rsid w:val="00193B5D"/>
    <w:rsid w:val="00193BB6"/>
    <w:rsid w:val="001960FC"/>
    <w:rsid w:val="00197A46"/>
    <w:rsid w:val="00197DED"/>
    <w:rsid w:val="001A0EB8"/>
    <w:rsid w:val="001A14CC"/>
    <w:rsid w:val="001A168F"/>
    <w:rsid w:val="001A1736"/>
    <w:rsid w:val="001A1CD0"/>
    <w:rsid w:val="001A3D72"/>
    <w:rsid w:val="001A76AA"/>
    <w:rsid w:val="001B0204"/>
    <w:rsid w:val="001B0419"/>
    <w:rsid w:val="001B3F90"/>
    <w:rsid w:val="001B583B"/>
    <w:rsid w:val="001C14C1"/>
    <w:rsid w:val="001C1B94"/>
    <w:rsid w:val="001C20DD"/>
    <w:rsid w:val="001C475D"/>
    <w:rsid w:val="001C6C4C"/>
    <w:rsid w:val="001C7167"/>
    <w:rsid w:val="001D007A"/>
    <w:rsid w:val="001D144C"/>
    <w:rsid w:val="001D1703"/>
    <w:rsid w:val="001D2237"/>
    <w:rsid w:val="001D2393"/>
    <w:rsid w:val="001D2713"/>
    <w:rsid w:val="001D30D0"/>
    <w:rsid w:val="001D382C"/>
    <w:rsid w:val="001D39F4"/>
    <w:rsid w:val="001D3AB2"/>
    <w:rsid w:val="001D491E"/>
    <w:rsid w:val="001D4D60"/>
    <w:rsid w:val="001D5939"/>
    <w:rsid w:val="001D6648"/>
    <w:rsid w:val="001D69A8"/>
    <w:rsid w:val="001D7651"/>
    <w:rsid w:val="001E5686"/>
    <w:rsid w:val="001E5760"/>
    <w:rsid w:val="001E60CB"/>
    <w:rsid w:val="001F1752"/>
    <w:rsid w:val="001F1887"/>
    <w:rsid w:val="001F1DBE"/>
    <w:rsid w:val="001F31E4"/>
    <w:rsid w:val="001F32DC"/>
    <w:rsid w:val="001F3748"/>
    <w:rsid w:val="001F3BBD"/>
    <w:rsid w:val="001F6821"/>
    <w:rsid w:val="00201F6F"/>
    <w:rsid w:val="00202D85"/>
    <w:rsid w:val="00203215"/>
    <w:rsid w:val="0020379C"/>
    <w:rsid w:val="00205EEE"/>
    <w:rsid w:val="0020709E"/>
    <w:rsid w:val="002071B0"/>
    <w:rsid w:val="00207C87"/>
    <w:rsid w:val="00211537"/>
    <w:rsid w:val="0021271E"/>
    <w:rsid w:val="00213E1D"/>
    <w:rsid w:val="00214A4C"/>
    <w:rsid w:val="00214C0D"/>
    <w:rsid w:val="002158AB"/>
    <w:rsid w:val="00216509"/>
    <w:rsid w:val="002167AD"/>
    <w:rsid w:val="00216DFB"/>
    <w:rsid w:val="00217114"/>
    <w:rsid w:val="00217705"/>
    <w:rsid w:val="00221394"/>
    <w:rsid w:val="00222362"/>
    <w:rsid w:val="00222B2B"/>
    <w:rsid w:val="002258CA"/>
    <w:rsid w:val="00225DCF"/>
    <w:rsid w:val="00225E68"/>
    <w:rsid w:val="002261C7"/>
    <w:rsid w:val="002261CD"/>
    <w:rsid w:val="00227477"/>
    <w:rsid w:val="0023068C"/>
    <w:rsid w:val="0023172F"/>
    <w:rsid w:val="0023234B"/>
    <w:rsid w:val="00232662"/>
    <w:rsid w:val="00233CAF"/>
    <w:rsid w:val="002342E0"/>
    <w:rsid w:val="002369CF"/>
    <w:rsid w:val="00237FA2"/>
    <w:rsid w:val="00240D3E"/>
    <w:rsid w:val="002425A3"/>
    <w:rsid w:val="00243AC7"/>
    <w:rsid w:val="002446BA"/>
    <w:rsid w:val="00244ED4"/>
    <w:rsid w:val="00245062"/>
    <w:rsid w:val="0024550C"/>
    <w:rsid w:val="00245F74"/>
    <w:rsid w:val="00247650"/>
    <w:rsid w:val="00247D64"/>
    <w:rsid w:val="002505E0"/>
    <w:rsid w:val="00253822"/>
    <w:rsid w:val="00254836"/>
    <w:rsid w:val="00257CD3"/>
    <w:rsid w:val="00260733"/>
    <w:rsid w:val="00260FD1"/>
    <w:rsid w:val="002647FB"/>
    <w:rsid w:val="00266B06"/>
    <w:rsid w:val="00271179"/>
    <w:rsid w:val="002717B6"/>
    <w:rsid w:val="00274322"/>
    <w:rsid w:val="002770B7"/>
    <w:rsid w:val="0027711A"/>
    <w:rsid w:val="00277BB9"/>
    <w:rsid w:val="002832E8"/>
    <w:rsid w:val="00283F04"/>
    <w:rsid w:val="0028476A"/>
    <w:rsid w:val="00285843"/>
    <w:rsid w:val="0028630C"/>
    <w:rsid w:val="00291453"/>
    <w:rsid w:val="00291CF1"/>
    <w:rsid w:val="002921D3"/>
    <w:rsid w:val="00293722"/>
    <w:rsid w:val="0029482E"/>
    <w:rsid w:val="00296042"/>
    <w:rsid w:val="00296D4F"/>
    <w:rsid w:val="002A01B5"/>
    <w:rsid w:val="002A047F"/>
    <w:rsid w:val="002A0D72"/>
    <w:rsid w:val="002A17CD"/>
    <w:rsid w:val="002A218D"/>
    <w:rsid w:val="002A26A9"/>
    <w:rsid w:val="002A26AF"/>
    <w:rsid w:val="002A506F"/>
    <w:rsid w:val="002A5F5F"/>
    <w:rsid w:val="002A7F55"/>
    <w:rsid w:val="002B1856"/>
    <w:rsid w:val="002B2FC4"/>
    <w:rsid w:val="002B3023"/>
    <w:rsid w:val="002B3C52"/>
    <w:rsid w:val="002B433A"/>
    <w:rsid w:val="002B5F96"/>
    <w:rsid w:val="002B6C3F"/>
    <w:rsid w:val="002C12B6"/>
    <w:rsid w:val="002C235D"/>
    <w:rsid w:val="002C2B4B"/>
    <w:rsid w:val="002C3056"/>
    <w:rsid w:val="002C3D65"/>
    <w:rsid w:val="002C3F12"/>
    <w:rsid w:val="002C44DE"/>
    <w:rsid w:val="002C491D"/>
    <w:rsid w:val="002C4970"/>
    <w:rsid w:val="002C4DF9"/>
    <w:rsid w:val="002C5036"/>
    <w:rsid w:val="002C6BCB"/>
    <w:rsid w:val="002C791E"/>
    <w:rsid w:val="002C7C32"/>
    <w:rsid w:val="002D0137"/>
    <w:rsid w:val="002D0E8E"/>
    <w:rsid w:val="002D0FA2"/>
    <w:rsid w:val="002D102C"/>
    <w:rsid w:val="002D3372"/>
    <w:rsid w:val="002D3D77"/>
    <w:rsid w:val="002D4164"/>
    <w:rsid w:val="002D4B60"/>
    <w:rsid w:val="002D5B3C"/>
    <w:rsid w:val="002D6E11"/>
    <w:rsid w:val="002D6EEA"/>
    <w:rsid w:val="002E10B4"/>
    <w:rsid w:val="002E1B0D"/>
    <w:rsid w:val="002E5E8D"/>
    <w:rsid w:val="002E7CEA"/>
    <w:rsid w:val="002F10DE"/>
    <w:rsid w:val="002F1107"/>
    <w:rsid w:val="002F11DB"/>
    <w:rsid w:val="002F283F"/>
    <w:rsid w:val="002F28D1"/>
    <w:rsid w:val="002F4487"/>
    <w:rsid w:val="002F49B9"/>
    <w:rsid w:val="002F6543"/>
    <w:rsid w:val="002F6F9D"/>
    <w:rsid w:val="002F7069"/>
    <w:rsid w:val="002F7763"/>
    <w:rsid w:val="0030017E"/>
    <w:rsid w:val="003002A1"/>
    <w:rsid w:val="003003AC"/>
    <w:rsid w:val="0030112C"/>
    <w:rsid w:val="00303971"/>
    <w:rsid w:val="00303E74"/>
    <w:rsid w:val="003054A0"/>
    <w:rsid w:val="00306BE8"/>
    <w:rsid w:val="00306DA2"/>
    <w:rsid w:val="003145A9"/>
    <w:rsid w:val="00314BA1"/>
    <w:rsid w:val="00315F0E"/>
    <w:rsid w:val="00316536"/>
    <w:rsid w:val="00316E91"/>
    <w:rsid w:val="00317BB2"/>
    <w:rsid w:val="0032296C"/>
    <w:rsid w:val="003234B7"/>
    <w:rsid w:val="00324848"/>
    <w:rsid w:val="0032496F"/>
    <w:rsid w:val="003254B7"/>
    <w:rsid w:val="00326790"/>
    <w:rsid w:val="0032784B"/>
    <w:rsid w:val="00330792"/>
    <w:rsid w:val="0033157C"/>
    <w:rsid w:val="00331681"/>
    <w:rsid w:val="003321A1"/>
    <w:rsid w:val="0033608E"/>
    <w:rsid w:val="00336EFD"/>
    <w:rsid w:val="00337B1D"/>
    <w:rsid w:val="003405F4"/>
    <w:rsid w:val="00340EF1"/>
    <w:rsid w:val="003422A2"/>
    <w:rsid w:val="00342362"/>
    <w:rsid w:val="003439C5"/>
    <w:rsid w:val="00343D81"/>
    <w:rsid w:val="003448DF"/>
    <w:rsid w:val="00346190"/>
    <w:rsid w:val="003465CF"/>
    <w:rsid w:val="0034672F"/>
    <w:rsid w:val="00347DC3"/>
    <w:rsid w:val="00350E75"/>
    <w:rsid w:val="0035142A"/>
    <w:rsid w:val="00351EED"/>
    <w:rsid w:val="00352BE2"/>
    <w:rsid w:val="00353894"/>
    <w:rsid w:val="00354D64"/>
    <w:rsid w:val="003562AB"/>
    <w:rsid w:val="0035719D"/>
    <w:rsid w:val="00357D62"/>
    <w:rsid w:val="00360E2B"/>
    <w:rsid w:val="00361173"/>
    <w:rsid w:val="003615E9"/>
    <w:rsid w:val="00363755"/>
    <w:rsid w:val="00364190"/>
    <w:rsid w:val="0036420A"/>
    <w:rsid w:val="0036607A"/>
    <w:rsid w:val="00366557"/>
    <w:rsid w:val="00366ACC"/>
    <w:rsid w:val="00366E3E"/>
    <w:rsid w:val="003716DF"/>
    <w:rsid w:val="00371762"/>
    <w:rsid w:val="00371FCD"/>
    <w:rsid w:val="0037203F"/>
    <w:rsid w:val="003724A1"/>
    <w:rsid w:val="00373013"/>
    <w:rsid w:val="003731C2"/>
    <w:rsid w:val="00374687"/>
    <w:rsid w:val="00375021"/>
    <w:rsid w:val="003759F0"/>
    <w:rsid w:val="0038222B"/>
    <w:rsid w:val="003826F5"/>
    <w:rsid w:val="0038302B"/>
    <w:rsid w:val="00384CA1"/>
    <w:rsid w:val="0038541C"/>
    <w:rsid w:val="003860A8"/>
    <w:rsid w:val="00386D9C"/>
    <w:rsid w:val="0038724C"/>
    <w:rsid w:val="00387756"/>
    <w:rsid w:val="00391359"/>
    <w:rsid w:val="003941D9"/>
    <w:rsid w:val="00396255"/>
    <w:rsid w:val="0039627E"/>
    <w:rsid w:val="0039717B"/>
    <w:rsid w:val="00397A5A"/>
    <w:rsid w:val="003A2DCA"/>
    <w:rsid w:val="003A430C"/>
    <w:rsid w:val="003A548F"/>
    <w:rsid w:val="003A5500"/>
    <w:rsid w:val="003A67F3"/>
    <w:rsid w:val="003A7F05"/>
    <w:rsid w:val="003B08A5"/>
    <w:rsid w:val="003B13F8"/>
    <w:rsid w:val="003B1580"/>
    <w:rsid w:val="003B1AA2"/>
    <w:rsid w:val="003B49F7"/>
    <w:rsid w:val="003B50C9"/>
    <w:rsid w:val="003B5856"/>
    <w:rsid w:val="003B65D3"/>
    <w:rsid w:val="003C0E6C"/>
    <w:rsid w:val="003C22C0"/>
    <w:rsid w:val="003C3271"/>
    <w:rsid w:val="003C3B8F"/>
    <w:rsid w:val="003C70FD"/>
    <w:rsid w:val="003D019A"/>
    <w:rsid w:val="003D0824"/>
    <w:rsid w:val="003D34CC"/>
    <w:rsid w:val="003D69E0"/>
    <w:rsid w:val="003D7C3C"/>
    <w:rsid w:val="003E1010"/>
    <w:rsid w:val="003E1E73"/>
    <w:rsid w:val="003E55E1"/>
    <w:rsid w:val="003E6D98"/>
    <w:rsid w:val="003F1526"/>
    <w:rsid w:val="003F2655"/>
    <w:rsid w:val="003F5B7C"/>
    <w:rsid w:val="003F7652"/>
    <w:rsid w:val="0040120E"/>
    <w:rsid w:val="0040259D"/>
    <w:rsid w:val="0040469B"/>
    <w:rsid w:val="004060D4"/>
    <w:rsid w:val="004062BB"/>
    <w:rsid w:val="00406B29"/>
    <w:rsid w:val="00406C2C"/>
    <w:rsid w:val="00406ECE"/>
    <w:rsid w:val="00407858"/>
    <w:rsid w:val="00407F3A"/>
    <w:rsid w:val="00410211"/>
    <w:rsid w:val="004110DD"/>
    <w:rsid w:val="0041308E"/>
    <w:rsid w:val="00413622"/>
    <w:rsid w:val="004140A4"/>
    <w:rsid w:val="0041429C"/>
    <w:rsid w:val="0041773A"/>
    <w:rsid w:val="00417DB6"/>
    <w:rsid w:val="00417E97"/>
    <w:rsid w:val="00420B6A"/>
    <w:rsid w:val="004211BD"/>
    <w:rsid w:val="00421CA6"/>
    <w:rsid w:val="00422BA5"/>
    <w:rsid w:val="00423F7B"/>
    <w:rsid w:val="00424341"/>
    <w:rsid w:val="004248C9"/>
    <w:rsid w:val="004264CA"/>
    <w:rsid w:val="00432B86"/>
    <w:rsid w:val="00435989"/>
    <w:rsid w:val="00435C69"/>
    <w:rsid w:val="00436057"/>
    <w:rsid w:val="00437CA0"/>
    <w:rsid w:val="00443776"/>
    <w:rsid w:val="00444044"/>
    <w:rsid w:val="00444D29"/>
    <w:rsid w:val="0044523A"/>
    <w:rsid w:val="00446E83"/>
    <w:rsid w:val="00447BCC"/>
    <w:rsid w:val="00450AF5"/>
    <w:rsid w:val="00451152"/>
    <w:rsid w:val="0045160C"/>
    <w:rsid w:val="0045175C"/>
    <w:rsid w:val="00452AA3"/>
    <w:rsid w:val="00453034"/>
    <w:rsid w:val="00453113"/>
    <w:rsid w:val="00457A73"/>
    <w:rsid w:val="00460FD8"/>
    <w:rsid w:val="00462496"/>
    <w:rsid w:val="00462803"/>
    <w:rsid w:val="00463D4D"/>
    <w:rsid w:val="00465430"/>
    <w:rsid w:val="00465637"/>
    <w:rsid w:val="00466AD3"/>
    <w:rsid w:val="00467BFD"/>
    <w:rsid w:val="00470864"/>
    <w:rsid w:val="0047097A"/>
    <w:rsid w:val="00470987"/>
    <w:rsid w:val="004716AD"/>
    <w:rsid w:val="0047297D"/>
    <w:rsid w:val="00472C7E"/>
    <w:rsid w:val="00472E66"/>
    <w:rsid w:val="00473FAB"/>
    <w:rsid w:val="004743BA"/>
    <w:rsid w:val="0047581E"/>
    <w:rsid w:val="00476804"/>
    <w:rsid w:val="004818D6"/>
    <w:rsid w:val="00481DDA"/>
    <w:rsid w:val="004822B2"/>
    <w:rsid w:val="00483107"/>
    <w:rsid w:val="00483A0D"/>
    <w:rsid w:val="00484622"/>
    <w:rsid w:val="00485211"/>
    <w:rsid w:val="00485BAA"/>
    <w:rsid w:val="004866AB"/>
    <w:rsid w:val="00486F4A"/>
    <w:rsid w:val="0048797C"/>
    <w:rsid w:val="00490A70"/>
    <w:rsid w:val="0049203D"/>
    <w:rsid w:val="00492388"/>
    <w:rsid w:val="004928C6"/>
    <w:rsid w:val="004969E4"/>
    <w:rsid w:val="00496B0B"/>
    <w:rsid w:val="0049718B"/>
    <w:rsid w:val="00497733"/>
    <w:rsid w:val="004A1741"/>
    <w:rsid w:val="004A210E"/>
    <w:rsid w:val="004A22A7"/>
    <w:rsid w:val="004A330A"/>
    <w:rsid w:val="004A4235"/>
    <w:rsid w:val="004A569B"/>
    <w:rsid w:val="004B0C79"/>
    <w:rsid w:val="004B4633"/>
    <w:rsid w:val="004B52DC"/>
    <w:rsid w:val="004B684D"/>
    <w:rsid w:val="004B7234"/>
    <w:rsid w:val="004C1221"/>
    <w:rsid w:val="004C17E1"/>
    <w:rsid w:val="004C2E6C"/>
    <w:rsid w:val="004C49E0"/>
    <w:rsid w:val="004C4B2A"/>
    <w:rsid w:val="004C6E9D"/>
    <w:rsid w:val="004D082B"/>
    <w:rsid w:val="004D2796"/>
    <w:rsid w:val="004D2F34"/>
    <w:rsid w:val="004D7578"/>
    <w:rsid w:val="004D7587"/>
    <w:rsid w:val="004D75A0"/>
    <w:rsid w:val="004E07B1"/>
    <w:rsid w:val="004E112B"/>
    <w:rsid w:val="004E475B"/>
    <w:rsid w:val="004E5AB3"/>
    <w:rsid w:val="004E627C"/>
    <w:rsid w:val="004E6BDB"/>
    <w:rsid w:val="004E7E87"/>
    <w:rsid w:val="004F0C27"/>
    <w:rsid w:val="004F221E"/>
    <w:rsid w:val="00503529"/>
    <w:rsid w:val="00503E4F"/>
    <w:rsid w:val="00505D31"/>
    <w:rsid w:val="00506DB0"/>
    <w:rsid w:val="00511219"/>
    <w:rsid w:val="005116B3"/>
    <w:rsid w:val="00511AFB"/>
    <w:rsid w:val="00511E07"/>
    <w:rsid w:val="0051388C"/>
    <w:rsid w:val="00516610"/>
    <w:rsid w:val="00521A65"/>
    <w:rsid w:val="00521F69"/>
    <w:rsid w:val="005222D1"/>
    <w:rsid w:val="00522A8C"/>
    <w:rsid w:val="00525CA7"/>
    <w:rsid w:val="00526509"/>
    <w:rsid w:val="00526662"/>
    <w:rsid w:val="00526F14"/>
    <w:rsid w:val="00526FB0"/>
    <w:rsid w:val="0053045A"/>
    <w:rsid w:val="005317F9"/>
    <w:rsid w:val="005326EC"/>
    <w:rsid w:val="005329DE"/>
    <w:rsid w:val="00532EA0"/>
    <w:rsid w:val="0053374B"/>
    <w:rsid w:val="00533A30"/>
    <w:rsid w:val="00533E1E"/>
    <w:rsid w:val="00535599"/>
    <w:rsid w:val="005368BA"/>
    <w:rsid w:val="00536F5F"/>
    <w:rsid w:val="00537F10"/>
    <w:rsid w:val="00540305"/>
    <w:rsid w:val="005408AF"/>
    <w:rsid w:val="00540E64"/>
    <w:rsid w:val="00540FC1"/>
    <w:rsid w:val="005443BE"/>
    <w:rsid w:val="005444CB"/>
    <w:rsid w:val="00545A75"/>
    <w:rsid w:val="00546F2E"/>
    <w:rsid w:val="00546FB4"/>
    <w:rsid w:val="00547A59"/>
    <w:rsid w:val="00547C71"/>
    <w:rsid w:val="005509F3"/>
    <w:rsid w:val="00554BB6"/>
    <w:rsid w:val="00555C16"/>
    <w:rsid w:val="005564F9"/>
    <w:rsid w:val="00556881"/>
    <w:rsid w:val="00561992"/>
    <w:rsid w:val="00562838"/>
    <w:rsid w:val="005644EC"/>
    <w:rsid w:val="00565A7E"/>
    <w:rsid w:val="00565DBE"/>
    <w:rsid w:val="005662E8"/>
    <w:rsid w:val="0057000B"/>
    <w:rsid w:val="005720E0"/>
    <w:rsid w:val="00573C5A"/>
    <w:rsid w:val="0057560F"/>
    <w:rsid w:val="00576E74"/>
    <w:rsid w:val="0058051A"/>
    <w:rsid w:val="00580E33"/>
    <w:rsid w:val="005879EE"/>
    <w:rsid w:val="0059295D"/>
    <w:rsid w:val="00593A69"/>
    <w:rsid w:val="00595919"/>
    <w:rsid w:val="00595CD5"/>
    <w:rsid w:val="005979F3"/>
    <w:rsid w:val="005A457B"/>
    <w:rsid w:val="005A5AC2"/>
    <w:rsid w:val="005A679C"/>
    <w:rsid w:val="005A697D"/>
    <w:rsid w:val="005B394A"/>
    <w:rsid w:val="005B6EE5"/>
    <w:rsid w:val="005B774D"/>
    <w:rsid w:val="005C07CD"/>
    <w:rsid w:val="005C10FE"/>
    <w:rsid w:val="005C26E2"/>
    <w:rsid w:val="005C2755"/>
    <w:rsid w:val="005C45AA"/>
    <w:rsid w:val="005C506B"/>
    <w:rsid w:val="005C6ACA"/>
    <w:rsid w:val="005C7091"/>
    <w:rsid w:val="005D007E"/>
    <w:rsid w:val="005D0A0F"/>
    <w:rsid w:val="005D0D51"/>
    <w:rsid w:val="005D3CD2"/>
    <w:rsid w:val="005D60BD"/>
    <w:rsid w:val="005D6D06"/>
    <w:rsid w:val="005D72C0"/>
    <w:rsid w:val="005E0908"/>
    <w:rsid w:val="005E0E7B"/>
    <w:rsid w:val="005E24A7"/>
    <w:rsid w:val="005E3AC3"/>
    <w:rsid w:val="005E4CF0"/>
    <w:rsid w:val="005E6C98"/>
    <w:rsid w:val="005E6CAF"/>
    <w:rsid w:val="005F11E0"/>
    <w:rsid w:val="005F2D7C"/>
    <w:rsid w:val="005F3105"/>
    <w:rsid w:val="005F31C9"/>
    <w:rsid w:val="005F4466"/>
    <w:rsid w:val="005F448B"/>
    <w:rsid w:val="005F496B"/>
    <w:rsid w:val="005F4AE2"/>
    <w:rsid w:val="005F53CA"/>
    <w:rsid w:val="005F604D"/>
    <w:rsid w:val="005F708E"/>
    <w:rsid w:val="005F7CB7"/>
    <w:rsid w:val="00600617"/>
    <w:rsid w:val="00600F65"/>
    <w:rsid w:val="0060186D"/>
    <w:rsid w:val="006029F1"/>
    <w:rsid w:val="006036A5"/>
    <w:rsid w:val="006047F9"/>
    <w:rsid w:val="00606CAA"/>
    <w:rsid w:val="00611C67"/>
    <w:rsid w:val="006127AD"/>
    <w:rsid w:val="00612A8D"/>
    <w:rsid w:val="00615099"/>
    <w:rsid w:val="00615DD3"/>
    <w:rsid w:val="006165B5"/>
    <w:rsid w:val="0062036A"/>
    <w:rsid w:val="006210E1"/>
    <w:rsid w:val="00622656"/>
    <w:rsid w:val="006228B4"/>
    <w:rsid w:val="00625C07"/>
    <w:rsid w:val="00627983"/>
    <w:rsid w:val="00627F30"/>
    <w:rsid w:val="0063103D"/>
    <w:rsid w:val="006331B9"/>
    <w:rsid w:val="00633B62"/>
    <w:rsid w:val="006341B1"/>
    <w:rsid w:val="00634A24"/>
    <w:rsid w:val="006372B2"/>
    <w:rsid w:val="00637313"/>
    <w:rsid w:val="0063735A"/>
    <w:rsid w:val="00640D13"/>
    <w:rsid w:val="00642BB2"/>
    <w:rsid w:val="00644583"/>
    <w:rsid w:val="00645443"/>
    <w:rsid w:val="00645C93"/>
    <w:rsid w:val="00646A47"/>
    <w:rsid w:val="00651807"/>
    <w:rsid w:val="00651C1A"/>
    <w:rsid w:val="00651F36"/>
    <w:rsid w:val="006538EC"/>
    <w:rsid w:val="006556A3"/>
    <w:rsid w:val="0065603C"/>
    <w:rsid w:val="00656CE6"/>
    <w:rsid w:val="006571CA"/>
    <w:rsid w:val="00657255"/>
    <w:rsid w:val="00660C62"/>
    <w:rsid w:val="00662A95"/>
    <w:rsid w:val="006636E5"/>
    <w:rsid w:val="006664E6"/>
    <w:rsid w:val="0067045E"/>
    <w:rsid w:val="00671769"/>
    <w:rsid w:val="00672149"/>
    <w:rsid w:val="00672A71"/>
    <w:rsid w:val="00673261"/>
    <w:rsid w:val="00676426"/>
    <w:rsid w:val="00680A14"/>
    <w:rsid w:val="00681031"/>
    <w:rsid w:val="006810E2"/>
    <w:rsid w:val="0068273F"/>
    <w:rsid w:val="00683B6F"/>
    <w:rsid w:val="0068451E"/>
    <w:rsid w:val="00684D08"/>
    <w:rsid w:val="00686D58"/>
    <w:rsid w:val="00690285"/>
    <w:rsid w:val="00691174"/>
    <w:rsid w:val="00691975"/>
    <w:rsid w:val="00695DCB"/>
    <w:rsid w:val="00696CA1"/>
    <w:rsid w:val="00697607"/>
    <w:rsid w:val="0069781F"/>
    <w:rsid w:val="00697D46"/>
    <w:rsid w:val="006A02DD"/>
    <w:rsid w:val="006A2218"/>
    <w:rsid w:val="006B4D42"/>
    <w:rsid w:val="006B5758"/>
    <w:rsid w:val="006B60EF"/>
    <w:rsid w:val="006B7627"/>
    <w:rsid w:val="006C0704"/>
    <w:rsid w:val="006C2458"/>
    <w:rsid w:val="006C4944"/>
    <w:rsid w:val="006C55CD"/>
    <w:rsid w:val="006C5BBF"/>
    <w:rsid w:val="006D044F"/>
    <w:rsid w:val="006D10C3"/>
    <w:rsid w:val="006D136C"/>
    <w:rsid w:val="006D1A24"/>
    <w:rsid w:val="006D1EE9"/>
    <w:rsid w:val="006D2727"/>
    <w:rsid w:val="006D2DA9"/>
    <w:rsid w:val="006D3C9F"/>
    <w:rsid w:val="006D470B"/>
    <w:rsid w:val="006E06A2"/>
    <w:rsid w:val="006E32C0"/>
    <w:rsid w:val="006F0E95"/>
    <w:rsid w:val="006F7874"/>
    <w:rsid w:val="0070018F"/>
    <w:rsid w:val="00700876"/>
    <w:rsid w:val="00701376"/>
    <w:rsid w:val="007023F5"/>
    <w:rsid w:val="00702A04"/>
    <w:rsid w:val="0070532B"/>
    <w:rsid w:val="00707462"/>
    <w:rsid w:val="00707CBB"/>
    <w:rsid w:val="00711B68"/>
    <w:rsid w:val="0071399F"/>
    <w:rsid w:val="007165E5"/>
    <w:rsid w:val="00716BBD"/>
    <w:rsid w:val="0072086F"/>
    <w:rsid w:val="00720915"/>
    <w:rsid w:val="00720DF4"/>
    <w:rsid w:val="00720EFE"/>
    <w:rsid w:val="007214CB"/>
    <w:rsid w:val="0072156D"/>
    <w:rsid w:val="007236D0"/>
    <w:rsid w:val="00724667"/>
    <w:rsid w:val="00726565"/>
    <w:rsid w:val="007266A1"/>
    <w:rsid w:val="00726B0D"/>
    <w:rsid w:val="0073000B"/>
    <w:rsid w:val="0073038B"/>
    <w:rsid w:val="007307F5"/>
    <w:rsid w:val="007321CB"/>
    <w:rsid w:val="007360AD"/>
    <w:rsid w:val="00740E75"/>
    <w:rsid w:val="00742293"/>
    <w:rsid w:val="00742BE5"/>
    <w:rsid w:val="00742C66"/>
    <w:rsid w:val="007440EC"/>
    <w:rsid w:val="00745802"/>
    <w:rsid w:val="00746DDB"/>
    <w:rsid w:val="007511D6"/>
    <w:rsid w:val="00752B37"/>
    <w:rsid w:val="0075315D"/>
    <w:rsid w:val="00753BCB"/>
    <w:rsid w:val="00753D4B"/>
    <w:rsid w:val="00754496"/>
    <w:rsid w:val="00755B7E"/>
    <w:rsid w:val="00756E20"/>
    <w:rsid w:val="007571D6"/>
    <w:rsid w:val="007649C4"/>
    <w:rsid w:val="00765D77"/>
    <w:rsid w:val="007661A0"/>
    <w:rsid w:val="00766540"/>
    <w:rsid w:val="007675A4"/>
    <w:rsid w:val="0076790D"/>
    <w:rsid w:val="00773798"/>
    <w:rsid w:val="00774566"/>
    <w:rsid w:val="00774C31"/>
    <w:rsid w:val="00776B80"/>
    <w:rsid w:val="00780546"/>
    <w:rsid w:val="00780D53"/>
    <w:rsid w:val="0078166F"/>
    <w:rsid w:val="00781D9B"/>
    <w:rsid w:val="00782683"/>
    <w:rsid w:val="0078416A"/>
    <w:rsid w:val="0078440B"/>
    <w:rsid w:val="00785096"/>
    <w:rsid w:val="00786B2E"/>
    <w:rsid w:val="00787720"/>
    <w:rsid w:val="00787812"/>
    <w:rsid w:val="00790B73"/>
    <w:rsid w:val="007930EE"/>
    <w:rsid w:val="007931CD"/>
    <w:rsid w:val="00793DDC"/>
    <w:rsid w:val="007940D2"/>
    <w:rsid w:val="0079575D"/>
    <w:rsid w:val="00795B89"/>
    <w:rsid w:val="007968F5"/>
    <w:rsid w:val="00797A33"/>
    <w:rsid w:val="007A1632"/>
    <w:rsid w:val="007A1D64"/>
    <w:rsid w:val="007A650D"/>
    <w:rsid w:val="007B1DCA"/>
    <w:rsid w:val="007B246F"/>
    <w:rsid w:val="007B2EED"/>
    <w:rsid w:val="007B2F91"/>
    <w:rsid w:val="007B63F6"/>
    <w:rsid w:val="007B6614"/>
    <w:rsid w:val="007B7B27"/>
    <w:rsid w:val="007C0C3B"/>
    <w:rsid w:val="007C1AEE"/>
    <w:rsid w:val="007C1F9B"/>
    <w:rsid w:val="007C2F7F"/>
    <w:rsid w:val="007C32FF"/>
    <w:rsid w:val="007C4F2A"/>
    <w:rsid w:val="007C55D3"/>
    <w:rsid w:val="007C5C6B"/>
    <w:rsid w:val="007C5EE4"/>
    <w:rsid w:val="007C7949"/>
    <w:rsid w:val="007D12CA"/>
    <w:rsid w:val="007D2290"/>
    <w:rsid w:val="007D2463"/>
    <w:rsid w:val="007D333B"/>
    <w:rsid w:val="007D3EE5"/>
    <w:rsid w:val="007D56FD"/>
    <w:rsid w:val="007D5D66"/>
    <w:rsid w:val="007D60D1"/>
    <w:rsid w:val="007D6B89"/>
    <w:rsid w:val="007D70D1"/>
    <w:rsid w:val="007E0700"/>
    <w:rsid w:val="007E1F02"/>
    <w:rsid w:val="007E2D47"/>
    <w:rsid w:val="007E3268"/>
    <w:rsid w:val="007E4C0D"/>
    <w:rsid w:val="007E5220"/>
    <w:rsid w:val="007F0213"/>
    <w:rsid w:val="007F0BA6"/>
    <w:rsid w:val="007F1124"/>
    <w:rsid w:val="007F262A"/>
    <w:rsid w:val="007F3B20"/>
    <w:rsid w:val="007F4FE3"/>
    <w:rsid w:val="007F52FC"/>
    <w:rsid w:val="007F59A4"/>
    <w:rsid w:val="00801CA9"/>
    <w:rsid w:val="0080259A"/>
    <w:rsid w:val="008025EA"/>
    <w:rsid w:val="00803FFF"/>
    <w:rsid w:val="008046CD"/>
    <w:rsid w:val="00804949"/>
    <w:rsid w:val="00804CAC"/>
    <w:rsid w:val="00805333"/>
    <w:rsid w:val="00805EE1"/>
    <w:rsid w:val="0080704A"/>
    <w:rsid w:val="00807E0C"/>
    <w:rsid w:val="00813706"/>
    <w:rsid w:val="0081590E"/>
    <w:rsid w:val="00816C5F"/>
    <w:rsid w:val="00817AB4"/>
    <w:rsid w:val="0082204D"/>
    <w:rsid w:val="00822F6A"/>
    <w:rsid w:val="00825294"/>
    <w:rsid w:val="00825CF4"/>
    <w:rsid w:val="0082601F"/>
    <w:rsid w:val="0082648E"/>
    <w:rsid w:val="00826762"/>
    <w:rsid w:val="00826DFA"/>
    <w:rsid w:val="00830793"/>
    <w:rsid w:val="0083164D"/>
    <w:rsid w:val="00831E9A"/>
    <w:rsid w:val="00832D5F"/>
    <w:rsid w:val="00833233"/>
    <w:rsid w:val="00834424"/>
    <w:rsid w:val="008360DB"/>
    <w:rsid w:val="00840809"/>
    <w:rsid w:val="008417FF"/>
    <w:rsid w:val="008420DB"/>
    <w:rsid w:val="00842A4B"/>
    <w:rsid w:val="008447DD"/>
    <w:rsid w:val="00846040"/>
    <w:rsid w:val="00846A23"/>
    <w:rsid w:val="0084725B"/>
    <w:rsid w:val="00850D22"/>
    <w:rsid w:val="0085139B"/>
    <w:rsid w:val="008514EE"/>
    <w:rsid w:val="00852D33"/>
    <w:rsid w:val="00854587"/>
    <w:rsid w:val="00855213"/>
    <w:rsid w:val="00856682"/>
    <w:rsid w:val="00857A8E"/>
    <w:rsid w:val="0086004A"/>
    <w:rsid w:val="00861E76"/>
    <w:rsid w:val="0086332E"/>
    <w:rsid w:val="00863350"/>
    <w:rsid w:val="00864A13"/>
    <w:rsid w:val="008663DB"/>
    <w:rsid w:val="008708B6"/>
    <w:rsid w:val="008732F8"/>
    <w:rsid w:val="00873CAD"/>
    <w:rsid w:val="008749A5"/>
    <w:rsid w:val="00877938"/>
    <w:rsid w:val="00884D52"/>
    <w:rsid w:val="00885D01"/>
    <w:rsid w:val="008878D4"/>
    <w:rsid w:val="00890FA4"/>
    <w:rsid w:val="00891C0C"/>
    <w:rsid w:val="00892402"/>
    <w:rsid w:val="008954AE"/>
    <w:rsid w:val="00895B8B"/>
    <w:rsid w:val="00895D40"/>
    <w:rsid w:val="0089750F"/>
    <w:rsid w:val="008A0505"/>
    <w:rsid w:val="008A4090"/>
    <w:rsid w:val="008B01D3"/>
    <w:rsid w:val="008B090C"/>
    <w:rsid w:val="008B2BDA"/>
    <w:rsid w:val="008B3F5F"/>
    <w:rsid w:val="008B7444"/>
    <w:rsid w:val="008C16CF"/>
    <w:rsid w:val="008C1A83"/>
    <w:rsid w:val="008C20DD"/>
    <w:rsid w:val="008C21DA"/>
    <w:rsid w:val="008C458F"/>
    <w:rsid w:val="008C4A9C"/>
    <w:rsid w:val="008C53E4"/>
    <w:rsid w:val="008C5CF9"/>
    <w:rsid w:val="008C62FB"/>
    <w:rsid w:val="008D00D9"/>
    <w:rsid w:val="008D3D78"/>
    <w:rsid w:val="008D3F87"/>
    <w:rsid w:val="008D413C"/>
    <w:rsid w:val="008D4993"/>
    <w:rsid w:val="008D71D3"/>
    <w:rsid w:val="008D72BF"/>
    <w:rsid w:val="008D7F38"/>
    <w:rsid w:val="008E0CB3"/>
    <w:rsid w:val="008E1585"/>
    <w:rsid w:val="008E23C0"/>
    <w:rsid w:val="008E3857"/>
    <w:rsid w:val="008E385C"/>
    <w:rsid w:val="008E454C"/>
    <w:rsid w:val="008E5520"/>
    <w:rsid w:val="008E59CE"/>
    <w:rsid w:val="008E65C4"/>
    <w:rsid w:val="008E6D43"/>
    <w:rsid w:val="008E7508"/>
    <w:rsid w:val="008F1802"/>
    <w:rsid w:val="008F701A"/>
    <w:rsid w:val="008F7794"/>
    <w:rsid w:val="0090247B"/>
    <w:rsid w:val="009040EC"/>
    <w:rsid w:val="00904ADA"/>
    <w:rsid w:val="00905996"/>
    <w:rsid w:val="00906E9D"/>
    <w:rsid w:val="00911215"/>
    <w:rsid w:val="00911C88"/>
    <w:rsid w:val="00911E5C"/>
    <w:rsid w:val="0091270E"/>
    <w:rsid w:val="00913903"/>
    <w:rsid w:val="00916252"/>
    <w:rsid w:val="009170A1"/>
    <w:rsid w:val="00920702"/>
    <w:rsid w:val="00922C54"/>
    <w:rsid w:val="009230FD"/>
    <w:rsid w:val="00923524"/>
    <w:rsid w:val="00923ED9"/>
    <w:rsid w:val="00925B54"/>
    <w:rsid w:val="00927551"/>
    <w:rsid w:val="00927CE7"/>
    <w:rsid w:val="0093017D"/>
    <w:rsid w:val="009303FC"/>
    <w:rsid w:val="00930448"/>
    <w:rsid w:val="00930FBA"/>
    <w:rsid w:val="00932ACA"/>
    <w:rsid w:val="009335B4"/>
    <w:rsid w:val="00933A65"/>
    <w:rsid w:val="009345C5"/>
    <w:rsid w:val="009345FF"/>
    <w:rsid w:val="009425D9"/>
    <w:rsid w:val="00942A28"/>
    <w:rsid w:val="009434E9"/>
    <w:rsid w:val="00944DC6"/>
    <w:rsid w:val="00946F74"/>
    <w:rsid w:val="00947724"/>
    <w:rsid w:val="00947D90"/>
    <w:rsid w:val="009513C2"/>
    <w:rsid w:val="00952378"/>
    <w:rsid w:val="009526B6"/>
    <w:rsid w:val="009528DF"/>
    <w:rsid w:val="0095306D"/>
    <w:rsid w:val="00954C17"/>
    <w:rsid w:val="0095515D"/>
    <w:rsid w:val="00955621"/>
    <w:rsid w:val="009575DC"/>
    <w:rsid w:val="00960AAB"/>
    <w:rsid w:val="00962257"/>
    <w:rsid w:val="009627CB"/>
    <w:rsid w:val="00963B98"/>
    <w:rsid w:val="009651C7"/>
    <w:rsid w:val="009663CC"/>
    <w:rsid w:val="009666DE"/>
    <w:rsid w:val="00966D5D"/>
    <w:rsid w:val="0096728D"/>
    <w:rsid w:val="00971099"/>
    <w:rsid w:val="009712AF"/>
    <w:rsid w:val="00971C4B"/>
    <w:rsid w:val="009725C7"/>
    <w:rsid w:val="00972BB3"/>
    <w:rsid w:val="00972DA3"/>
    <w:rsid w:val="00973823"/>
    <w:rsid w:val="0097510F"/>
    <w:rsid w:val="0097668C"/>
    <w:rsid w:val="00976705"/>
    <w:rsid w:val="00976F46"/>
    <w:rsid w:val="00977679"/>
    <w:rsid w:val="00977D4C"/>
    <w:rsid w:val="00980153"/>
    <w:rsid w:val="009817E9"/>
    <w:rsid w:val="00986978"/>
    <w:rsid w:val="0098737E"/>
    <w:rsid w:val="00991615"/>
    <w:rsid w:val="00993244"/>
    <w:rsid w:val="0099676A"/>
    <w:rsid w:val="00997338"/>
    <w:rsid w:val="009A348A"/>
    <w:rsid w:val="009A3CF1"/>
    <w:rsid w:val="009A407F"/>
    <w:rsid w:val="009A5B33"/>
    <w:rsid w:val="009A69CF"/>
    <w:rsid w:val="009A77CF"/>
    <w:rsid w:val="009B040F"/>
    <w:rsid w:val="009B0B16"/>
    <w:rsid w:val="009B2E74"/>
    <w:rsid w:val="009B4681"/>
    <w:rsid w:val="009B5AB5"/>
    <w:rsid w:val="009B6A50"/>
    <w:rsid w:val="009B7D76"/>
    <w:rsid w:val="009C0E07"/>
    <w:rsid w:val="009C1CEA"/>
    <w:rsid w:val="009C32F2"/>
    <w:rsid w:val="009C38E1"/>
    <w:rsid w:val="009C42E9"/>
    <w:rsid w:val="009C4C2F"/>
    <w:rsid w:val="009C4E5B"/>
    <w:rsid w:val="009C5F02"/>
    <w:rsid w:val="009C6D26"/>
    <w:rsid w:val="009C728E"/>
    <w:rsid w:val="009C75F3"/>
    <w:rsid w:val="009D09FE"/>
    <w:rsid w:val="009D2FCC"/>
    <w:rsid w:val="009D4D54"/>
    <w:rsid w:val="009D675B"/>
    <w:rsid w:val="009D6BFB"/>
    <w:rsid w:val="009D6FAC"/>
    <w:rsid w:val="009D7708"/>
    <w:rsid w:val="009D7D46"/>
    <w:rsid w:val="009E237F"/>
    <w:rsid w:val="009E23A6"/>
    <w:rsid w:val="009E48E4"/>
    <w:rsid w:val="009E4BED"/>
    <w:rsid w:val="009E7032"/>
    <w:rsid w:val="009E7489"/>
    <w:rsid w:val="009E75AB"/>
    <w:rsid w:val="009F1A82"/>
    <w:rsid w:val="009F33D0"/>
    <w:rsid w:val="009F3BCD"/>
    <w:rsid w:val="009F5ECD"/>
    <w:rsid w:val="009F7873"/>
    <w:rsid w:val="009F7C83"/>
    <w:rsid w:val="00A00F7D"/>
    <w:rsid w:val="00A018B6"/>
    <w:rsid w:val="00A01D81"/>
    <w:rsid w:val="00A030B0"/>
    <w:rsid w:val="00A054C8"/>
    <w:rsid w:val="00A101BA"/>
    <w:rsid w:val="00A1082F"/>
    <w:rsid w:val="00A139A1"/>
    <w:rsid w:val="00A1425D"/>
    <w:rsid w:val="00A14376"/>
    <w:rsid w:val="00A14CDF"/>
    <w:rsid w:val="00A165C7"/>
    <w:rsid w:val="00A175F8"/>
    <w:rsid w:val="00A2138C"/>
    <w:rsid w:val="00A214A3"/>
    <w:rsid w:val="00A21562"/>
    <w:rsid w:val="00A21705"/>
    <w:rsid w:val="00A230D4"/>
    <w:rsid w:val="00A25D5D"/>
    <w:rsid w:val="00A25E0C"/>
    <w:rsid w:val="00A260E3"/>
    <w:rsid w:val="00A340AC"/>
    <w:rsid w:val="00A34CEF"/>
    <w:rsid w:val="00A37178"/>
    <w:rsid w:val="00A37A54"/>
    <w:rsid w:val="00A37BD3"/>
    <w:rsid w:val="00A40ABE"/>
    <w:rsid w:val="00A40C99"/>
    <w:rsid w:val="00A4422B"/>
    <w:rsid w:val="00A45B9A"/>
    <w:rsid w:val="00A50230"/>
    <w:rsid w:val="00A541C7"/>
    <w:rsid w:val="00A54318"/>
    <w:rsid w:val="00A545CF"/>
    <w:rsid w:val="00A55936"/>
    <w:rsid w:val="00A55EC4"/>
    <w:rsid w:val="00A566A5"/>
    <w:rsid w:val="00A56D87"/>
    <w:rsid w:val="00A60A22"/>
    <w:rsid w:val="00A638CC"/>
    <w:rsid w:val="00A65720"/>
    <w:rsid w:val="00A65ED8"/>
    <w:rsid w:val="00A6713F"/>
    <w:rsid w:val="00A67576"/>
    <w:rsid w:val="00A67702"/>
    <w:rsid w:val="00A7067E"/>
    <w:rsid w:val="00A71EAD"/>
    <w:rsid w:val="00A72309"/>
    <w:rsid w:val="00A73176"/>
    <w:rsid w:val="00A7478A"/>
    <w:rsid w:val="00A7629B"/>
    <w:rsid w:val="00A76663"/>
    <w:rsid w:val="00A767D2"/>
    <w:rsid w:val="00A768D1"/>
    <w:rsid w:val="00A77152"/>
    <w:rsid w:val="00A77229"/>
    <w:rsid w:val="00A823F0"/>
    <w:rsid w:val="00A82BE9"/>
    <w:rsid w:val="00A83204"/>
    <w:rsid w:val="00A83F6D"/>
    <w:rsid w:val="00A85443"/>
    <w:rsid w:val="00A90D68"/>
    <w:rsid w:val="00A90D81"/>
    <w:rsid w:val="00A92280"/>
    <w:rsid w:val="00A92887"/>
    <w:rsid w:val="00A92CF4"/>
    <w:rsid w:val="00A93268"/>
    <w:rsid w:val="00A95109"/>
    <w:rsid w:val="00A9611B"/>
    <w:rsid w:val="00A97961"/>
    <w:rsid w:val="00AA25C5"/>
    <w:rsid w:val="00AA2735"/>
    <w:rsid w:val="00AA46FD"/>
    <w:rsid w:val="00AA51D7"/>
    <w:rsid w:val="00AA6CAA"/>
    <w:rsid w:val="00AA7154"/>
    <w:rsid w:val="00AA788E"/>
    <w:rsid w:val="00AA7BB4"/>
    <w:rsid w:val="00AB131E"/>
    <w:rsid w:val="00AB1F2D"/>
    <w:rsid w:val="00AB50B5"/>
    <w:rsid w:val="00AB7AD1"/>
    <w:rsid w:val="00AC06EA"/>
    <w:rsid w:val="00AC421B"/>
    <w:rsid w:val="00AC56D5"/>
    <w:rsid w:val="00AC67A3"/>
    <w:rsid w:val="00AC7655"/>
    <w:rsid w:val="00AD13BB"/>
    <w:rsid w:val="00AD148F"/>
    <w:rsid w:val="00AD3634"/>
    <w:rsid w:val="00AD3C13"/>
    <w:rsid w:val="00AD4606"/>
    <w:rsid w:val="00AD52E6"/>
    <w:rsid w:val="00AD5697"/>
    <w:rsid w:val="00AD5D63"/>
    <w:rsid w:val="00AD6A9D"/>
    <w:rsid w:val="00AD7EFE"/>
    <w:rsid w:val="00AE43CA"/>
    <w:rsid w:val="00AE4A7C"/>
    <w:rsid w:val="00AE60B7"/>
    <w:rsid w:val="00AE6173"/>
    <w:rsid w:val="00AE76CD"/>
    <w:rsid w:val="00AE7D59"/>
    <w:rsid w:val="00AE7E88"/>
    <w:rsid w:val="00AF0143"/>
    <w:rsid w:val="00AF0D81"/>
    <w:rsid w:val="00AF12A2"/>
    <w:rsid w:val="00AF14E6"/>
    <w:rsid w:val="00AF266D"/>
    <w:rsid w:val="00AF32B7"/>
    <w:rsid w:val="00AF4A28"/>
    <w:rsid w:val="00AF516C"/>
    <w:rsid w:val="00AF61B4"/>
    <w:rsid w:val="00AF798C"/>
    <w:rsid w:val="00B009CE"/>
    <w:rsid w:val="00B00E3D"/>
    <w:rsid w:val="00B0157C"/>
    <w:rsid w:val="00B01A51"/>
    <w:rsid w:val="00B034EF"/>
    <w:rsid w:val="00B0445A"/>
    <w:rsid w:val="00B0523C"/>
    <w:rsid w:val="00B05ED7"/>
    <w:rsid w:val="00B061A9"/>
    <w:rsid w:val="00B06CFD"/>
    <w:rsid w:val="00B078A7"/>
    <w:rsid w:val="00B12691"/>
    <w:rsid w:val="00B1281D"/>
    <w:rsid w:val="00B1467A"/>
    <w:rsid w:val="00B15809"/>
    <w:rsid w:val="00B162CE"/>
    <w:rsid w:val="00B174A4"/>
    <w:rsid w:val="00B222A3"/>
    <w:rsid w:val="00B22C41"/>
    <w:rsid w:val="00B23A62"/>
    <w:rsid w:val="00B25702"/>
    <w:rsid w:val="00B278A9"/>
    <w:rsid w:val="00B310A1"/>
    <w:rsid w:val="00B325C1"/>
    <w:rsid w:val="00B335BC"/>
    <w:rsid w:val="00B3419A"/>
    <w:rsid w:val="00B34CF4"/>
    <w:rsid w:val="00B361B5"/>
    <w:rsid w:val="00B40B61"/>
    <w:rsid w:val="00B4197F"/>
    <w:rsid w:val="00B42617"/>
    <w:rsid w:val="00B43E53"/>
    <w:rsid w:val="00B45D94"/>
    <w:rsid w:val="00B462A5"/>
    <w:rsid w:val="00B474E7"/>
    <w:rsid w:val="00B513EE"/>
    <w:rsid w:val="00B51919"/>
    <w:rsid w:val="00B52BC1"/>
    <w:rsid w:val="00B54168"/>
    <w:rsid w:val="00B5438C"/>
    <w:rsid w:val="00B543EA"/>
    <w:rsid w:val="00B55274"/>
    <w:rsid w:val="00B603D1"/>
    <w:rsid w:val="00B604E0"/>
    <w:rsid w:val="00B60BB3"/>
    <w:rsid w:val="00B614A4"/>
    <w:rsid w:val="00B637D5"/>
    <w:rsid w:val="00B6412E"/>
    <w:rsid w:val="00B7226D"/>
    <w:rsid w:val="00B75B12"/>
    <w:rsid w:val="00B75BC2"/>
    <w:rsid w:val="00B77DE5"/>
    <w:rsid w:val="00B81E88"/>
    <w:rsid w:val="00B8493F"/>
    <w:rsid w:val="00B85EB9"/>
    <w:rsid w:val="00B861D5"/>
    <w:rsid w:val="00B867CE"/>
    <w:rsid w:val="00B904F3"/>
    <w:rsid w:val="00B90517"/>
    <w:rsid w:val="00B9391F"/>
    <w:rsid w:val="00B93927"/>
    <w:rsid w:val="00B93B79"/>
    <w:rsid w:val="00B95706"/>
    <w:rsid w:val="00BA07DF"/>
    <w:rsid w:val="00BA133D"/>
    <w:rsid w:val="00BA28BD"/>
    <w:rsid w:val="00BA2AF9"/>
    <w:rsid w:val="00BA2F4E"/>
    <w:rsid w:val="00BA3399"/>
    <w:rsid w:val="00BA58D2"/>
    <w:rsid w:val="00BA68C5"/>
    <w:rsid w:val="00BB1601"/>
    <w:rsid w:val="00BB23D5"/>
    <w:rsid w:val="00BB3B90"/>
    <w:rsid w:val="00BB3E31"/>
    <w:rsid w:val="00BB41EC"/>
    <w:rsid w:val="00BB5196"/>
    <w:rsid w:val="00BB59C1"/>
    <w:rsid w:val="00BB5BD0"/>
    <w:rsid w:val="00BB5D84"/>
    <w:rsid w:val="00BB68BD"/>
    <w:rsid w:val="00BB7A6C"/>
    <w:rsid w:val="00BC00A8"/>
    <w:rsid w:val="00BC249D"/>
    <w:rsid w:val="00BC2810"/>
    <w:rsid w:val="00BC3E9B"/>
    <w:rsid w:val="00BC4021"/>
    <w:rsid w:val="00BC4138"/>
    <w:rsid w:val="00BC6CEC"/>
    <w:rsid w:val="00BC7BBB"/>
    <w:rsid w:val="00BC7ECE"/>
    <w:rsid w:val="00BD0415"/>
    <w:rsid w:val="00BD0671"/>
    <w:rsid w:val="00BD07F2"/>
    <w:rsid w:val="00BD2F25"/>
    <w:rsid w:val="00BD4DBB"/>
    <w:rsid w:val="00BD5821"/>
    <w:rsid w:val="00BE01D2"/>
    <w:rsid w:val="00BE04D4"/>
    <w:rsid w:val="00BE1B63"/>
    <w:rsid w:val="00BE1FD7"/>
    <w:rsid w:val="00BE701C"/>
    <w:rsid w:val="00BE7F9D"/>
    <w:rsid w:val="00BF1219"/>
    <w:rsid w:val="00BF21ED"/>
    <w:rsid w:val="00BF332E"/>
    <w:rsid w:val="00C00D93"/>
    <w:rsid w:val="00C00DD6"/>
    <w:rsid w:val="00C0166E"/>
    <w:rsid w:val="00C025F6"/>
    <w:rsid w:val="00C032DC"/>
    <w:rsid w:val="00C033E7"/>
    <w:rsid w:val="00C03989"/>
    <w:rsid w:val="00C0409B"/>
    <w:rsid w:val="00C040B4"/>
    <w:rsid w:val="00C041B6"/>
    <w:rsid w:val="00C047DA"/>
    <w:rsid w:val="00C0559A"/>
    <w:rsid w:val="00C05BAD"/>
    <w:rsid w:val="00C07340"/>
    <w:rsid w:val="00C10404"/>
    <w:rsid w:val="00C10F2F"/>
    <w:rsid w:val="00C12A4F"/>
    <w:rsid w:val="00C16119"/>
    <w:rsid w:val="00C235D2"/>
    <w:rsid w:val="00C25080"/>
    <w:rsid w:val="00C25DB6"/>
    <w:rsid w:val="00C26EA0"/>
    <w:rsid w:val="00C270B3"/>
    <w:rsid w:val="00C31B2B"/>
    <w:rsid w:val="00C3252E"/>
    <w:rsid w:val="00C33820"/>
    <w:rsid w:val="00C349CF"/>
    <w:rsid w:val="00C34D82"/>
    <w:rsid w:val="00C34F95"/>
    <w:rsid w:val="00C36664"/>
    <w:rsid w:val="00C36769"/>
    <w:rsid w:val="00C37798"/>
    <w:rsid w:val="00C42D82"/>
    <w:rsid w:val="00C4334A"/>
    <w:rsid w:val="00C434BD"/>
    <w:rsid w:val="00C4471A"/>
    <w:rsid w:val="00C46CFC"/>
    <w:rsid w:val="00C50117"/>
    <w:rsid w:val="00C5031E"/>
    <w:rsid w:val="00C5079A"/>
    <w:rsid w:val="00C51D8B"/>
    <w:rsid w:val="00C5200F"/>
    <w:rsid w:val="00C527FC"/>
    <w:rsid w:val="00C52EA7"/>
    <w:rsid w:val="00C53C7F"/>
    <w:rsid w:val="00C54071"/>
    <w:rsid w:val="00C55D1C"/>
    <w:rsid w:val="00C56D2C"/>
    <w:rsid w:val="00C579BF"/>
    <w:rsid w:val="00C601E0"/>
    <w:rsid w:val="00C605CC"/>
    <w:rsid w:val="00C60D79"/>
    <w:rsid w:val="00C61F38"/>
    <w:rsid w:val="00C6252B"/>
    <w:rsid w:val="00C6252D"/>
    <w:rsid w:val="00C62BAB"/>
    <w:rsid w:val="00C643A9"/>
    <w:rsid w:val="00C64DA4"/>
    <w:rsid w:val="00C652EE"/>
    <w:rsid w:val="00C67852"/>
    <w:rsid w:val="00C7026F"/>
    <w:rsid w:val="00C717DA"/>
    <w:rsid w:val="00C727F0"/>
    <w:rsid w:val="00C73880"/>
    <w:rsid w:val="00C750BF"/>
    <w:rsid w:val="00C7729F"/>
    <w:rsid w:val="00C80F6E"/>
    <w:rsid w:val="00C837DD"/>
    <w:rsid w:val="00C847F9"/>
    <w:rsid w:val="00C84D03"/>
    <w:rsid w:val="00C85C57"/>
    <w:rsid w:val="00C86325"/>
    <w:rsid w:val="00C907CA"/>
    <w:rsid w:val="00C91098"/>
    <w:rsid w:val="00C95A7A"/>
    <w:rsid w:val="00C96FA7"/>
    <w:rsid w:val="00C971C4"/>
    <w:rsid w:val="00CA021F"/>
    <w:rsid w:val="00CA168B"/>
    <w:rsid w:val="00CA448A"/>
    <w:rsid w:val="00CA56AB"/>
    <w:rsid w:val="00CB0628"/>
    <w:rsid w:val="00CB30DA"/>
    <w:rsid w:val="00CB543A"/>
    <w:rsid w:val="00CB5EAA"/>
    <w:rsid w:val="00CB5F44"/>
    <w:rsid w:val="00CB5FC3"/>
    <w:rsid w:val="00CB6922"/>
    <w:rsid w:val="00CB6CE0"/>
    <w:rsid w:val="00CB7154"/>
    <w:rsid w:val="00CB74D6"/>
    <w:rsid w:val="00CC0605"/>
    <w:rsid w:val="00CC088A"/>
    <w:rsid w:val="00CC0EEB"/>
    <w:rsid w:val="00CC1721"/>
    <w:rsid w:val="00CC30C1"/>
    <w:rsid w:val="00CC44B5"/>
    <w:rsid w:val="00CC4821"/>
    <w:rsid w:val="00CC6973"/>
    <w:rsid w:val="00CD02F9"/>
    <w:rsid w:val="00CD103F"/>
    <w:rsid w:val="00CD2037"/>
    <w:rsid w:val="00CD290B"/>
    <w:rsid w:val="00CD3424"/>
    <w:rsid w:val="00CD56FC"/>
    <w:rsid w:val="00CE0C83"/>
    <w:rsid w:val="00CE38B7"/>
    <w:rsid w:val="00CE5404"/>
    <w:rsid w:val="00CE5B1B"/>
    <w:rsid w:val="00CF019F"/>
    <w:rsid w:val="00CF0EE9"/>
    <w:rsid w:val="00CF1C32"/>
    <w:rsid w:val="00CF2DE7"/>
    <w:rsid w:val="00CF377B"/>
    <w:rsid w:val="00D004FD"/>
    <w:rsid w:val="00D00F97"/>
    <w:rsid w:val="00D03F71"/>
    <w:rsid w:val="00D0453A"/>
    <w:rsid w:val="00D04A0E"/>
    <w:rsid w:val="00D05206"/>
    <w:rsid w:val="00D05C7F"/>
    <w:rsid w:val="00D0650B"/>
    <w:rsid w:val="00D067AE"/>
    <w:rsid w:val="00D06CD9"/>
    <w:rsid w:val="00D06D0A"/>
    <w:rsid w:val="00D0748F"/>
    <w:rsid w:val="00D10385"/>
    <w:rsid w:val="00D11716"/>
    <w:rsid w:val="00D11E3B"/>
    <w:rsid w:val="00D127D1"/>
    <w:rsid w:val="00D138E0"/>
    <w:rsid w:val="00D141F3"/>
    <w:rsid w:val="00D1435E"/>
    <w:rsid w:val="00D14784"/>
    <w:rsid w:val="00D14B3D"/>
    <w:rsid w:val="00D16C4E"/>
    <w:rsid w:val="00D16CA5"/>
    <w:rsid w:val="00D17992"/>
    <w:rsid w:val="00D17D88"/>
    <w:rsid w:val="00D20401"/>
    <w:rsid w:val="00D204F4"/>
    <w:rsid w:val="00D207FF"/>
    <w:rsid w:val="00D21673"/>
    <w:rsid w:val="00D23A9B"/>
    <w:rsid w:val="00D23B7D"/>
    <w:rsid w:val="00D242EA"/>
    <w:rsid w:val="00D2454E"/>
    <w:rsid w:val="00D26D47"/>
    <w:rsid w:val="00D27D9B"/>
    <w:rsid w:val="00D3094F"/>
    <w:rsid w:val="00D32965"/>
    <w:rsid w:val="00D32EBC"/>
    <w:rsid w:val="00D34C31"/>
    <w:rsid w:val="00D34E30"/>
    <w:rsid w:val="00D40206"/>
    <w:rsid w:val="00D4045C"/>
    <w:rsid w:val="00D406C6"/>
    <w:rsid w:val="00D4334E"/>
    <w:rsid w:val="00D43779"/>
    <w:rsid w:val="00D45142"/>
    <w:rsid w:val="00D4516B"/>
    <w:rsid w:val="00D45872"/>
    <w:rsid w:val="00D471BC"/>
    <w:rsid w:val="00D47403"/>
    <w:rsid w:val="00D47671"/>
    <w:rsid w:val="00D506B1"/>
    <w:rsid w:val="00D558A3"/>
    <w:rsid w:val="00D60823"/>
    <w:rsid w:val="00D617D3"/>
    <w:rsid w:val="00D641BC"/>
    <w:rsid w:val="00D65030"/>
    <w:rsid w:val="00D65198"/>
    <w:rsid w:val="00D66398"/>
    <w:rsid w:val="00D6687D"/>
    <w:rsid w:val="00D678A7"/>
    <w:rsid w:val="00D711CF"/>
    <w:rsid w:val="00D72196"/>
    <w:rsid w:val="00D723D7"/>
    <w:rsid w:val="00D726FE"/>
    <w:rsid w:val="00D73F19"/>
    <w:rsid w:val="00D806BE"/>
    <w:rsid w:val="00D80C38"/>
    <w:rsid w:val="00D82664"/>
    <w:rsid w:val="00D85BC9"/>
    <w:rsid w:val="00D86857"/>
    <w:rsid w:val="00D902B3"/>
    <w:rsid w:val="00D91DFF"/>
    <w:rsid w:val="00D924A5"/>
    <w:rsid w:val="00D940C6"/>
    <w:rsid w:val="00D943C0"/>
    <w:rsid w:val="00D94D3B"/>
    <w:rsid w:val="00D94F77"/>
    <w:rsid w:val="00D961CD"/>
    <w:rsid w:val="00D96482"/>
    <w:rsid w:val="00D97FD8"/>
    <w:rsid w:val="00DA0F31"/>
    <w:rsid w:val="00DA1F2A"/>
    <w:rsid w:val="00DA3378"/>
    <w:rsid w:val="00DA5076"/>
    <w:rsid w:val="00DA7797"/>
    <w:rsid w:val="00DA7D5A"/>
    <w:rsid w:val="00DB03A4"/>
    <w:rsid w:val="00DB0EC3"/>
    <w:rsid w:val="00DB2052"/>
    <w:rsid w:val="00DB44DC"/>
    <w:rsid w:val="00DB59A4"/>
    <w:rsid w:val="00DB5AF8"/>
    <w:rsid w:val="00DC0433"/>
    <w:rsid w:val="00DC11A3"/>
    <w:rsid w:val="00DC148D"/>
    <w:rsid w:val="00DC265E"/>
    <w:rsid w:val="00DC29DF"/>
    <w:rsid w:val="00DC4076"/>
    <w:rsid w:val="00DC47FD"/>
    <w:rsid w:val="00DC68A5"/>
    <w:rsid w:val="00DD1B6D"/>
    <w:rsid w:val="00DD1F23"/>
    <w:rsid w:val="00DD3060"/>
    <w:rsid w:val="00DD453B"/>
    <w:rsid w:val="00DD4E8B"/>
    <w:rsid w:val="00DD60FC"/>
    <w:rsid w:val="00DD6297"/>
    <w:rsid w:val="00DD6795"/>
    <w:rsid w:val="00DD7A79"/>
    <w:rsid w:val="00DE0F93"/>
    <w:rsid w:val="00DE2D05"/>
    <w:rsid w:val="00DE343A"/>
    <w:rsid w:val="00DE41D9"/>
    <w:rsid w:val="00DE4A52"/>
    <w:rsid w:val="00DE5445"/>
    <w:rsid w:val="00DE5716"/>
    <w:rsid w:val="00DE57C0"/>
    <w:rsid w:val="00DE66B0"/>
    <w:rsid w:val="00DE6F3B"/>
    <w:rsid w:val="00DE7B59"/>
    <w:rsid w:val="00DF1779"/>
    <w:rsid w:val="00DF1A11"/>
    <w:rsid w:val="00DF5297"/>
    <w:rsid w:val="00DF6DB3"/>
    <w:rsid w:val="00E00492"/>
    <w:rsid w:val="00E0197B"/>
    <w:rsid w:val="00E0371E"/>
    <w:rsid w:val="00E048BA"/>
    <w:rsid w:val="00E054B2"/>
    <w:rsid w:val="00E06B12"/>
    <w:rsid w:val="00E07F96"/>
    <w:rsid w:val="00E109F6"/>
    <w:rsid w:val="00E10F2B"/>
    <w:rsid w:val="00E11B7A"/>
    <w:rsid w:val="00E12F66"/>
    <w:rsid w:val="00E17E02"/>
    <w:rsid w:val="00E207FB"/>
    <w:rsid w:val="00E20CB3"/>
    <w:rsid w:val="00E2175F"/>
    <w:rsid w:val="00E23664"/>
    <w:rsid w:val="00E23947"/>
    <w:rsid w:val="00E246F0"/>
    <w:rsid w:val="00E24DF2"/>
    <w:rsid w:val="00E2607E"/>
    <w:rsid w:val="00E27FD8"/>
    <w:rsid w:val="00E30129"/>
    <w:rsid w:val="00E3057A"/>
    <w:rsid w:val="00E31A60"/>
    <w:rsid w:val="00E32B8A"/>
    <w:rsid w:val="00E342A7"/>
    <w:rsid w:val="00E34AC6"/>
    <w:rsid w:val="00E34CB4"/>
    <w:rsid w:val="00E45510"/>
    <w:rsid w:val="00E45DDB"/>
    <w:rsid w:val="00E505EC"/>
    <w:rsid w:val="00E51D55"/>
    <w:rsid w:val="00E51F85"/>
    <w:rsid w:val="00E52A69"/>
    <w:rsid w:val="00E52A9A"/>
    <w:rsid w:val="00E5456B"/>
    <w:rsid w:val="00E55039"/>
    <w:rsid w:val="00E567F5"/>
    <w:rsid w:val="00E56AD0"/>
    <w:rsid w:val="00E64701"/>
    <w:rsid w:val="00E66830"/>
    <w:rsid w:val="00E67030"/>
    <w:rsid w:val="00E67AC0"/>
    <w:rsid w:val="00E70B55"/>
    <w:rsid w:val="00E7163E"/>
    <w:rsid w:val="00E736FC"/>
    <w:rsid w:val="00E77E0B"/>
    <w:rsid w:val="00E8359D"/>
    <w:rsid w:val="00E83C8C"/>
    <w:rsid w:val="00E85743"/>
    <w:rsid w:val="00E8580B"/>
    <w:rsid w:val="00E85B5D"/>
    <w:rsid w:val="00E85EE1"/>
    <w:rsid w:val="00E876C9"/>
    <w:rsid w:val="00E87CCB"/>
    <w:rsid w:val="00E91F33"/>
    <w:rsid w:val="00E94A22"/>
    <w:rsid w:val="00E96425"/>
    <w:rsid w:val="00E966FB"/>
    <w:rsid w:val="00EA0515"/>
    <w:rsid w:val="00EA09A8"/>
    <w:rsid w:val="00EA2D56"/>
    <w:rsid w:val="00EA3953"/>
    <w:rsid w:val="00EA4488"/>
    <w:rsid w:val="00EA65A4"/>
    <w:rsid w:val="00EB21AC"/>
    <w:rsid w:val="00EB33A8"/>
    <w:rsid w:val="00EB33D6"/>
    <w:rsid w:val="00EB3559"/>
    <w:rsid w:val="00EB5B01"/>
    <w:rsid w:val="00EB6E7F"/>
    <w:rsid w:val="00EB77E5"/>
    <w:rsid w:val="00EC0A85"/>
    <w:rsid w:val="00EC1C54"/>
    <w:rsid w:val="00EC444D"/>
    <w:rsid w:val="00EC5BB4"/>
    <w:rsid w:val="00EC61A6"/>
    <w:rsid w:val="00EC731C"/>
    <w:rsid w:val="00ED0666"/>
    <w:rsid w:val="00ED183F"/>
    <w:rsid w:val="00ED211A"/>
    <w:rsid w:val="00ED4996"/>
    <w:rsid w:val="00ED4E6F"/>
    <w:rsid w:val="00ED5E1F"/>
    <w:rsid w:val="00ED71B1"/>
    <w:rsid w:val="00EE012E"/>
    <w:rsid w:val="00EE358E"/>
    <w:rsid w:val="00EE3808"/>
    <w:rsid w:val="00EE51E4"/>
    <w:rsid w:val="00EE5C97"/>
    <w:rsid w:val="00EE6AFA"/>
    <w:rsid w:val="00EF08AA"/>
    <w:rsid w:val="00EF18B6"/>
    <w:rsid w:val="00EF23B1"/>
    <w:rsid w:val="00EF3070"/>
    <w:rsid w:val="00EF3E85"/>
    <w:rsid w:val="00EF47AC"/>
    <w:rsid w:val="00EF78B2"/>
    <w:rsid w:val="00F01500"/>
    <w:rsid w:val="00F01BBC"/>
    <w:rsid w:val="00F02537"/>
    <w:rsid w:val="00F030BE"/>
    <w:rsid w:val="00F06963"/>
    <w:rsid w:val="00F069B8"/>
    <w:rsid w:val="00F06D67"/>
    <w:rsid w:val="00F1004F"/>
    <w:rsid w:val="00F11C4C"/>
    <w:rsid w:val="00F1365B"/>
    <w:rsid w:val="00F154C8"/>
    <w:rsid w:val="00F15AD4"/>
    <w:rsid w:val="00F16FA6"/>
    <w:rsid w:val="00F17BC9"/>
    <w:rsid w:val="00F21370"/>
    <w:rsid w:val="00F214D1"/>
    <w:rsid w:val="00F21B25"/>
    <w:rsid w:val="00F22C57"/>
    <w:rsid w:val="00F23BC3"/>
    <w:rsid w:val="00F26533"/>
    <w:rsid w:val="00F269CC"/>
    <w:rsid w:val="00F30C47"/>
    <w:rsid w:val="00F34B60"/>
    <w:rsid w:val="00F358B8"/>
    <w:rsid w:val="00F35CB8"/>
    <w:rsid w:val="00F36068"/>
    <w:rsid w:val="00F37B20"/>
    <w:rsid w:val="00F37C7D"/>
    <w:rsid w:val="00F40638"/>
    <w:rsid w:val="00F40EA7"/>
    <w:rsid w:val="00F43A4C"/>
    <w:rsid w:val="00F43BBB"/>
    <w:rsid w:val="00F446F2"/>
    <w:rsid w:val="00F4499E"/>
    <w:rsid w:val="00F451DE"/>
    <w:rsid w:val="00F505CB"/>
    <w:rsid w:val="00F50B97"/>
    <w:rsid w:val="00F51BCE"/>
    <w:rsid w:val="00F522DF"/>
    <w:rsid w:val="00F52524"/>
    <w:rsid w:val="00F53395"/>
    <w:rsid w:val="00F548F3"/>
    <w:rsid w:val="00F549FB"/>
    <w:rsid w:val="00F54D35"/>
    <w:rsid w:val="00F56668"/>
    <w:rsid w:val="00F60381"/>
    <w:rsid w:val="00F615DC"/>
    <w:rsid w:val="00F61841"/>
    <w:rsid w:val="00F62121"/>
    <w:rsid w:val="00F621ED"/>
    <w:rsid w:val="00F62939"/>
    <w:rsid w:val="00F63C21"/>
    <w:rsid w:val="00F64A7A"/>
    <w:rsid w:val="00F64BAF"/>
    <w:rsid w:val="00F65EBF"/>
    <w:rsid w:val="00F66F9D"/>
    <w:rsid w:val="00F67856"/>
    <w:rsid w:val="00F70A18"/>
    <w:rsid w:val="00F70BAF"/>
    <w:rsid w:val="00F7551F"/>
    <w:rsid w:val="00F7673D"/>
    <w:rsid w:val="00F80350"/>
    <w:rsid w:val="00F807F7"/>
    <w:rsid w:val="00F83917"/>
    <w:rsid w:val="00F84775"/>
    <w:rsid w:val="00F85982"/>
    <w:rsid w:val="00F86A2C"/>
    <w:rsid w:val="00F86C94"/>
    <w:rsid w:val="00F86D57"/>
    <w:rsid w:val="00F9028A"/>
    <w:rsid w:val="00F91CBD"/>
    <w:rsid w:val="00F91FA4"/>
    <w:rsid w:val="00F9359B"/>
    <w:rsid w:val="00F944CF"/>
    <w:rsid w:val="00F94B36"/>
    <w:rsid w:val="00F956A9"/>
    <w:rsid w:val="00F97E52"/>
    <w:rsid w:val="00FA0039"/>
    <w:rsid w:val="00FA1235"/>
    <w:rsid w:val="00FA2912"/>
    <w:rsid w:val="00FA6A8E"/>
    <w:rsid w:val="00FB2F2F"/>
    <w:rsid w:val="00FB32DB"/>
    <w:rsid w:val="00FB4B50"/>
    <w:rsid w:val="00FB55E7"/>
    <w:rsid w:val="00FC066C"/>
    <w:rsid w:val="00FC1339"/>
    <w:rsid w:val="00FC1DDA"/>
    <w:rsid w:val="00FC25FA"/>
    <w:rsid w:val="00FC2812"/>
    <w:rsid w:val="00FC2817"/>
    <w:rsid w:val="00FC4A92"/>
    <w:rsid w:val="00FC5D69"/>
    <w:rsid w:val="00FC6DD3"/>
    <w:rsid w:val="00FD01B5"/>
    <w:rsid w:val="00FD02CB"/>
    <w:rsid w:val="00FD037D"/>
    <w:rsid w:val="00FD0E19"/>
    <w:rsid w:val="00FD2450"/>
    <w:rsid w:val="00FD4BB8"/>
    <w:rsid w:val="00FD59B2"/>
    <w:rsid w:val="00FD6B02"/>
    <w:rsid w:val="00FD75B0"/>
    <w:rsid w:val="00FD7C0B"/>
    <w:rsid w:val="00FD7E1F"/>
    <w:rsid w:val="00FE0EFA"/>
    <w:rsid w:val="00FE1A79"/>
    <w:rsid w:val="00FE3B2B"/>
    <w:rsid w:val="00FE59C1"/>
    <w:rsid w:val="00FE5FEE"/>
    <w:rsid w:val="00FE661B"/>
    <w:rsid w:val="00FE6756"/>
    <w:rsid w:val="00FE76C0"/>
    <w:rsid w:val="00FF0B73"/>
    <w:rsid w:val="00FF1E35"/>
    <w:rsid w:val="00FF28CD"/>
    <w:rsid w:val="00FF4A94"/>
    <w:rsid w:val="00FF532E"/>
    <w:rsid w:val="00FF75EB"/>
    <w:rsid w:val="00FF7B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A9"/>
    <w:rPr>
      <w:rFonts w:ascii="Arial" w:hAnsi="Arial"/>
    </w:rPr>
  </w:style>
  <w:style w:type="paragraph" w:styleId="Heading1">
    <w:name w:val="heading 1"/>
    <w:basedOn w:val="Normal"/>
    <w:next w:val="Normal"/>
    <w:link w:val="Heading1Char"/>
    <w:qFormat/>
    <w:rsid w:val="00F956A9"/>
    <w:pPr>
      <w:keepNext/>
      <w:keepLines/>
      <w:numPr>
        <w:numId w:val="1"/>
      </w:numPr>
      <w:spacing w:before="480" w:after="240"/>
      <w:outlineLvl w:val="0"/>
    </w:pPr>
    <w:rPr>
      <w:rFonts w:eastAsiaTheme="majorEastAsia" w:cs="Arial"/>
      <w:b/>
      <w:bCs/>
      <w:caps/>
      <w:color w:val="4F81BD" w:themeColor="accent1"/>
      <w:sz w:val="28"/>
      <w:szCs w:val="28"/>
    </w:rPr>
  </w:style>
  <w:style w:type="paragraph" w:styleId="Heading2">
    <w:name w:val="heading 2"/>
    <w:basedOn w:val="Normal"/>
    <w:next w:val="Normal"/>
    <w:link w:val="Heading2Char"/>
    <w:unhideWhenUsed/>
    <w:qFormat/>
    <w:rsid w:val="004D7587"/>
    <w:pPr>
      <w:keepNext/>
      <w:keepLines/>
      <w:numPr>
        <w:ilvl w:val="1"/>
        <w:numId w:val="1"/>
      </w:numPr>
      <w:spacing w:before="200" w:after="240"/>
      <w:outlineLvl w:val="1"/>
    </w:pPr>
    <w:rPr>
      <w:rFonts w:eastAsiaTheme="majorEastAsia" w:cs="Arial"/>
      <w:b/>
      <w:bCs/>
      <w:color w:val="8DB3E2" w:themeColor="text2" w:themeTint="66"/>
      <w:sz w:val="26"/>
      <w:szCs w:val="26"/>
    </w:rPr>
  </w:style>
  <w:style w:type="paragraph" w:styleId="Heading3">
    <w:name w:val="heading 3"/>
    <w:basedOn w:val="Normal"/>
    <w:next w:val="Normal"/>
    <w:link w:val="Heading3Char"/>
    <w:unhideWhenUsed/>
    <w:qFormat/>
    <w:rsid w:val="00F9028A"/>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4264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64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264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264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264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264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6A9"/>
    <w:rPr>
      <w:rFonts w:ascii="Arial" w:eastAsiaTheme="majorEastAsia" w:hAnsi="Arial" w:cs="Arial"/>
      <w:b/>
      <w:bCs/>
      <w:caps/>
      <w:color w:val="4F81BD" w:themeColor="accent1"/>
      <w:sz w:val="28"/>
      <w:szCs w:val="28"/>
    </w:rPr>
  </w:style>
  <w:style w:type="character" w:customStyle="1" w:styleId="Heading2Char">
    <w:name w:val="Heading 2 Char"/>
    <w:basedOn w:val="DefaultParagraphFont"/>
    <w:link w:val="Heading2"/>
    <w:rsid w:val="004D7587"/>
    <w:rPr>
      <w:rFonts w:ascii="Arial" w:eastAsiaTheme="majorEastAsia" w:hAnsi="Arial" w:cs="Arial"/>
      <w:b/>
      <w:bCs/>
      <w:color w:val="8DB3E2" w:themeColor="text2" w:themeTint="66"/>
      <w:sz w:val="26"/>
      <w:szCs w:val="26"/>
    </w:rPr>
  </w:style>
  <w:style w:type="character" w:customStyle="1" w:styleId="Heading3Char">
    <w:name w:val="Heading 3 Char"/>
    <w:basedOn w:val="DefaultParagraphFont"/>
    <w:link w:val="Heading3"/>
    <w:rsid w:val="00F9028A"/>
    <w:rPr>
      <w:rFonts w:ascii="Arial" w:eastAsiaTheme="majorEastAsia" w:hAnsi="Arial" w:cstheme="majorBidi"/>
      <w:b/>
      <w:bCs/>
    </w:rPr>
  </w:style>
  <w:style w:type="character" w:customStyle="1" w:styleId="Heading4Char">
    <w:name w:val="Heading 4 Char"/>
    <w:basedOn w:val="DefaultParagraphFont"/>
    <w:link w:val="Heading4"/>
    <w:rsid w:val="004264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264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4264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264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264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264CA"/>
    <w:rPr>
      <w:rFonts w:asciiTheme="majorHAnsi" w:eastAsiaTheme="majorEastAsia" w:hAnsiTheme="majorHAnsi" w:cstheme="majorBidi"/>
      <w:i/>
      <w:iCs/>
      <w:color w:val="404040" w:themeColor="text1" w:themeTint="BF"/>
      <w:sz w:val="20"/>
      <w:szCs w:val="20"/>
    </w:rPr>
  </w:style>
  <w:style w:type="paragraph" w:customStyle="1" w:styleId="text">
    <w:name w:val="text"/>
    <w:basedOn w:val="Header"/>
    <w:rsid w:val="00D067AE"/>
    <w:pPr>
      <w:widowControl w:val="0"/>
      <w:tabs>
        <w:tab w:val="clear" w:pos="4513"/>
        <w:tab w:val="clear" w:pos="9026"/>
        <w:tab w:val="center" w:pos="4320"/>
        <w:tab w:val="right" w:pos="8640"/>
      </w:tabs>
      <w:suppressAutoHyphens/>
      <w:autoSpaceDE w:val="0"/>
      <w:autoSpaceDN w:val="0"/>
      <w:adjustRightInd w:val="0"/>
      <w:spacing w:before="57" w:line="310" w:lineRule="atLeast"/>
      <w:textAlignment w:val="baseline"/>
    </w:pPr>
    <w:rPr>
      <w:rFonts w:ascii="GillSans-Light" w:eastAsia="Times New Roman" w:hAnsi="GillSans-Light" w:cs="Times New Roman"/>
      <w:color w:val="000000"/>
      <w:sz w:val="23"/>
      <w:szCs w:val="23"/>
    </w:rPr>
  </w:style>
  <w:style w:type="paragraph" w:styleId="Header">
    <w:name w:val="header"/>
    <w:basedOn w:val="Normal"/>
    <w:link w:val="HeaderChar"/>
    <w:uiPriority w:val="99"/>
    <w:unhideWhenUsed/>
    <w:rsid w:val="00D0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7AE"/>
  </w:style>
  <w:style w:type="paragraph" w:customStyle="1" w:styleId="Noparagraphstyle">
    <w:name w:val="[No paragraph style]"/>
    <w:rsid w:val="00D067A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character" w:styleId="Hyperlink">
    <w:name w:val="Hyperlink"/>
    <w:basedOn w:val="DefaultParagraphFont"/>
    <w:uiPriority w:val="99"/>
    <w:rsid w:val="00D067AE"/>
    <w:rPr>
      <w:color w:val="0000FF"/>
      <w:u w:val="single"/>
    </w:rPr>
  </w:style>
  <w:style w:type="paragraph" w:styleId="BodyText">
    <w:name w:val="Body Text"/>
    <w:basedOn w:val="Normal"/>
    <w:link w:val="BodyTextChar"/>
    <w:semiHidden/>
    <w:rsid w:val="00D067AE"/>
    <w:pPr>
      <w:spacing w:after="0" w:line="240" w:lineRule="auto"/>
    </w:pPr>
    <w:rPr>
      <w:rFonts w:ascii="GillSans" w:eastAsia="Times New Roman" w:hAnsi="GillSans" w:cs="Arial"/>
      <w:b/>
      <w:bCs/>
      <w:snapToGrid w:val="0"/>
      <w:color w:val="FFFFFF"/>
      <w:sz w:val="20"/>
      <w:szCs w:val="24"/>
    </w:rPr>
  </w:style>
  <w:style w:type="character" w:customStyle="1" w:styleId="BodyTextChar">
    <w:name w:val="Body Text Char"/>
    <w:basedOn w:val="DefaultParagraphFont"/>
    <w:link w:val="BodyText"/>
    <w:semiHidden/>
    <w:rsid w:val="00D067AE"/>
    <w:rPr>
      <w:rFonts w:ascii="GillSans" w:eastAsia="Times New Roman" w:hAnsi="GillSans" w:cs="Arial"/>
      <w:b/>
      <w:bCs/>
      <w:snapToGrid w:val="0"/>
      <w:color w:val="FFFFFF"/>
      <w:sz w:val="20"/>
      <w:szCs w:val="24"/>
    </w:rPr>
  </w:style>
  <w:style w:type="paragraph" w:styleId="ListParagraph">
    <w:name w:val="List Paragraph"/>
    <w:basedOn w:val="Normal"/>
    <w:uiPriority w:val="34"/>
    <w:qFormat/>
    <w:rsid w:val="00DB44DC"/>
    <w:pPr>
      <w:ind w:left="720"/>
      <w:contextualSpacing/>
    </w:pPr>
  </w:style>
  <w:style w:type="paragraph" w:styleId="FootnoteText">
    <w:name w:val="footnote text"/>
    <w:basedOn w:val="Normal"/>
    <w:link w:val="FootnoteTextChar"/>
    <w:uiPriority w:val="99"/>
    <w:unhideWhenUsed/>
    <w:rsid w:val="00DB44DC"/>
    <w:pPr>
      <w:spacing w:after="0" w:line="240" w:lineRule="auto"/>
    </w:pPr>
    <w:rPr>
      <w:sz w:val="20"/>
      <w:szCs w:val="20"/>
    </w:rPr>
  </w:style>
  <w:style w:type="character" w:customStyle="1" w:styleId="FootnoteTextChar">
    <w:name w:val="Footnote Text Char"/>
    <w:basedOn w:val="DefaultParagraphFont"/>
    <w:link w:val="FootnoteText"/>
    <w:uiPriority w:val="99"/>
    <w:rsid w:val="00DB44DC"/>
    <w:rPr>
      <w:sz w:val="20"/>
      <w:szCs w:val="20"/>
    </w:rPr>
  </w:style>
  <w:style w:type="character" w:styleId="FootnoteReference">
    <w:name w:val="footnote reference"/>
    <w:basedOn w:val="DefaultParagraphFont"/>
    <w:uiPriority w:val="99"/>
    <w:unhideWhenUsed/>
    <w:rsid w:val="00DB44DC"/>
    <w:rPr>
      <w:vertAlign w:val="superscript"/>
    </w:rPr>
  </w:style>
  <w:style w:type="paragraph" w:styleId="Caption">
    <w:name w:val="caption"/>
    <w:basedOn w:val="Normal"/>
    <w:next w:val="Normal"/>
    <w:uiPriority w:val="35"/>
    <w:unhideWhenUsed/>
    <w:qFormat/>
    <w:rsid w:val="00DB44DC"/>
    <w:pPr>
      <w:spacing w:line="240" w:lineRule="auto"/>
    </w:pPr>
    <w:rPr>
      <w:b/>
      <w:bCs/>
      <w:color w:val="4F81BD" w:themeColor="accent1"/>
      <w:sz w:val="18"/>
      <w:szCs w:val="18"/>
    </w:rPr>
  </w:style>
  <w:style w:type="table" w:customStyle="1" w:styleId="LightShading-Accent11">
    <w:name w:val="Light Shading - Accent 11"/>
    <w:basedOn w:val="TableNormal"/>
    <w:uiPriority w:val="60"/>
    <w:rsid w:val="00DB44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uiPriority w:val="60"/>
    <w:rsid w:val="00DB44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B4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4DC"/>
    <w:rPr>
      <w:rFonts w:ascii="Tahoma" w:hAnsi="Tahoma" w:cs="Tahoma"/>
      <w:sz w:val="16"/>
      <w:szCs w:val="16"/>
    </w:rPr>
  </w:style>
  <w:style w:type="character" w:styleId="CommentReference">
    <w:name w:val="annotation reference"/>
    <w:basedOn w:val="DefaultParagraphFont"/>
    <w:uiPriority w:val="99"/>
    <w:semiHidden/>
    <w:unhideWhenUsed/>
    <w:rsid w:val="00790B73"/>
    <w:rPr>
      <w:sz w:val="16"/>
      <w:szCs w:val="16"/>
    </w:rPr>
  </w:style>
  <w:style w:type="paragraph" w:styleId="CommentText">
    <w:name w:val="annotation text"/>
    <w:basedOn w:val="Normal"/>
    <w:link w:val="CommentTextChar"/>
    <w:uiPriority w:val="99"/>
    <w:semiHidden/>
    <w:unhideWhenUsed/>
    <w:rsid w:val="00790B73"/>
    <w:pPr>
      <w:spacing w:line="240" w:lineRule="auto"/>
    </w:pPr>
    <w:rPr>
      <w:sz w:val="20"/>
      <w:szCs w:val="20"/>
    </w:rPr>
  </w:style>
  <w:style w:type="character" w:customStyle="1" w:styleId="CommentTextChar">
    <w:name w:val="Comment Text Char"/>
    <w:basedOn w:val="DefaultParagraphFont"/>
    <w:link w:val="CommentText"/>
    <w:uiPriority w:val="99"/>
    <w:semiHidden/>
    <w:rsid w:val="00790B73"/>
    <w:rPr>
      <w:sz w:val="20"/>
      <w:szCs w:val="20"/>
    </w:rPr>
  </w:style>
  <w:style w:type="paragraph" w:styleId="CommentSubject">
    <w:name w:val="annotation subject"/>
    <w:basedOn w:val="CommentText"/>
    <w:next w:val="CommentText"/>
    <w:link w:val="CommentSubjectChar"/>
    <w:uiPriority w:val="99"/>
    <w:semiHidden/>
    <w:unhideWhenUsed/>
    <w:rsid w:val="00790B73"/>
    <w:rPr>
      <w:b/>
      <w:bCs/>
    </w:rPr>
  </w:style>
  <w:style w:type="character" w:customStyle="1" w:styleId="CommentSubjectChar">
    <w:name w:val="Comment Subject Char"/>
    <w:basedOn w:val="CommentTextChar"/>
    <w:link w:val="CommentSubject"/>
    <w:uiPriority w:val="99"/>
    <w:semiHidden/>
    <w:rsid w:val="00790B73"/>
    <w:rPr>
      <w:b/>
      <w:bCs/>
    </w:rPr>
  </w:style>
  <w:style w:type="paragraph" w:styleId="Footer">
    <w:name w:val="footer"/>
    <w:basedOn w:val="Normal"/>
    <w:link w:val="FooterChar"/>
    <w:uiPriority w:val="99"/>
    <w:unhideWhenUsed/>
    <w:rsid w:val="009C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E07"/>
  </w:style>
  <w:style w:type="paragraph" w:customStyle="1" w:styleId="aStyle2">
    <w:name w:val="aStyle2"/>
    <w:basedOn w:val="BodyText"/>
    <w:link w:val="aStyle2Char"/>
    <w:qFormat/>
    <w:rsid w:val="00F956A9"/>
    <w:pPr>
      <w:spacing w:before="40" w:after="120" w:line="280" w:lineRule="atLeast"/>
      <w:ind w:left="1134"/>
      <w:jc w:val="both"/>
    </w:pPr>
    <w:rPr>
      <w:rFonts w:ascii="Arial" w:hAnsi="Arial" w:cs="Times New Roman"/>
      <w:b w:val="0"/>
      <w:bCs w:val="0"/>
      <w:snapToGrid/>
      <w:color w:val="auto"/>
      <w:szCs w:val="20"/>
    </w:rPr>
  </w:style>
  <w:style w:type="character" w:customStyle="1" w:styleId="aStyle2Char">
    <w:name w:val="aStyle2 Char"/>
    <w:basedOn w:val="BodyTextChar"/>
    <w:link w:val="aStyle2"/>
    <w:rsid w:val="00F956A9"/>
    <w:rPr>
      <w:rFonts w:ascii="Arial" w:hAnsi="Arial" w:cs="Times New Roman"/>
      <w:szCs w:val="20"/>
    </w:rPr>
  </w:style>
  <w:style w:type="character" w:styleId="Strong">
    <w:name w:val="Strong"/>
    <w:basedOn w:val="DefaultParagraphFont"/>
    <w:uiPriority w:val="22"/>
    <w:qFormat/>
    <w:rsid w:val="00F956A9"/>
    <w:rPr>
      <w:b/>
      <w:bCs/>
    </w:rPr>
  </w:style>
  <w:style w:type="paragraph" w:styleId="NormalWeb">
    <w:name w:val="Normal (Web)"/>
    <w:basedOn w:val="Normal"/>
    <w:uiPriority w:val="99"/>
    <w:unhideWhenUsed/>
    <w:rsid w:val="00F956A9"/>
    <w:pPr>
      <w:spacing w:before="100" w:beforeAutospacing="1" w:after="100" w:afterAutospacing="1" w:line="240" w:lineRule="auto"/>
    </w:pPr>
    <w:rPr>
      <w:rFonts w:eastAsia="Times New Roman" w:cs="Arial"/>
      <w:sz w:val="24"/>
      <w:szCs w:val="24"/>
      <w:lang w:eastAsia="en-AU"/>
    </w:rPr>
  </w:style>
  <w:style w:type="paragraph" w:customStyle="1" w:styleId="Default">
    <w:name w:val="Default"/>
    <w:rsid w:val="006310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listparagraph0">
    <w:name w:val="msolistparagraph"/>
    <w:basedOn w:val="Normal"/>
    <w:rsid w:val="00117986"/>
    <w:pPr>
      <w:spacing w:after="0" w:line="240" w:lineRule="auto"/>
      <w:ind w:left="720"/>
    </w:pPr>
    <w:rPr>
      <w:rFonts w:ascii="Calibri" w:eastAsia="Arial Unicode MS" w:hAnsi="Calibri" w:cs="Arial Unicode MS"/>
    </w:rPr>
  </w:style>
  <w:style w:type="table" w:styleId="TableGrid">
    <w:name w:val="Table Grid"/>
    <w:basedOn w:val="TableNormal"/>
    <w:uiPriority w:val="59"/>
    <w:rsid w:val="00C36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ing-desc">
    <w:name w:val="listing-desc"/>
    <w:basedOn w:val="DefaultParagraphFont"/>
    <w:rsid w:val="00336EFD"/>
  </w:style>
  <w:style w:type="character" w:customStyle="1" w:styleId="KeyMessageTextChar">
    <w:name w:val="KeyMessageText Char"/>
    <w:basedOn w:val="DefaultParagraphFont"/>
    <w:link w:val="KeyMessageText"/>
    <w:locked/>
    <w:rsid w:val="005443BE"/>
    <w:rPr>
      <w:rFonts w:ascii="Gill Sans MT" w:hAnsi="Gill Sans MT" w:cs="Times New Roman"/>
      <w:sz w:val="32"/>
      <w:szCs w:val="32"/>
    </w:rPr>
  </w:style>
  <w:style w:type="paragraph" w:customStyle="1" w:styleId="KeyMessageText">
    <w:name w:val="KeyMessageText"/>
    <w:basedOn w:val="Normal"/>
    <w:link w:val="KeyMessageTextChar"/>
    <w:qFormat/>
    <w:rsid w:val="005443BE"/>
    <w:pPr>
      <w:numPr>
        <w:numId w:val="2"/>
      </w:numPr>
      <w:spacing w:after="240" w:line="240" w:lineRule="auto"/>
      <w:ind w:left="357" w:hanging="357"/>
    </w:pPr>
    <w:rPr>
      <w:rFonts w:ascii="Gill Sans MT" w:hAnsi="Gill Sans MT" w:cs="Times New Roman"/>
      <w:sz w:val="32"/>
      <w:szCs w:val="32"/>
    </w:rPr>
  </w:style>
  <w:style w:type="paragraph" w:customStyle="1" w:styleId="sub-head">
    <w:name w:val="sub-head"/>
    <w:basedOn w:val="Normal"/>
    <w:rsid w:val="00C34F95"/>
    <w:pPr>
      <w:overflowPunct w:val="0"/>
      <w:autoSpaceDE w:val="0"/>
      <w:autoSpaceDN w:val="0"/>
      <w:adjustRightInd w:val="0"/>
      <w:spacing w:before="120" w:after="120" w:line="240" w:lineRule="auto"/>
      <w:textAlignment w:val="baseline"/>
    </w:pPr>
    <w:rPr>
      <w:rFonts w:ascii="Times New Roman" w:eastAsia="Times New Roman" w:hAnsi="Times New Roman" w:cs="Times New Roman"/>
      <w:b/>
      <w:sz w:val="26"/>
      <w:szCs w:val="20"/>
      <w:lang w:val="en-US"/>
    </w:rPr>
  </w:style>
  <w:style w:type="paragraph" w:styleId="BodyTextIndent">
    <w:name w:val="Body Text Indent"/>
    <w:basedOn w:val="Normal"/>
    <w:link w:val="BodyTextIndentChar"/>
    <w:uiPriority w:val="99"/>
    <w:semiHidden/>
    <w:unhideWhenUsed/>
    <w:rsid w:val="000E4DB3"/>
    <w:pPr>
      <w:spacing w:after="120"/>
      <w:ind w:left="283"/>
    </w:pPr>
  </w:style>
  <w:style w:type="character" w:customStyle="1" w:styleId="BodyTextIndentChar">
    <w:name w:val="Body Text Indent Char"/>
    <w:basedOn w:val="DefaultParagraphFont"/>
    <w:link w:val="BodyTextIndent"/>
    <w:uiPriority w:val="99"/>
    <w:semiHidden/>
    <w:rsid w:val="000E4DB3"/>
    <w:rPr>
      <w:rFonts w:ascii="Arial" w:hAnsi="Arial"/>
    </w:rPr>
  </w:style>
  <w:style w:type="paragraph" w:styleId="BodyText2">
    <w:name w:val="Body Text 2"/>
    <w:basedOn w:val="Normal"/>
    <w:link w:val="BodyText2Char"/>
    <w:uiPriority w:val="99"/>
    <w:semiHidden/>
    <w:unhideWhenUsed/>
    <w:rsid w:val="000E4DB3"/>
    <w:pPr>
      <w:spacing w:after="120" w:line="480" w:lineRule="auto"/>
    </w:pPr>
  </w:style>
  <w:style w:type="character" w:customStyle="1" w:styleId="BodyText2Char">
    <w:name w:val="Body Text 2 Char"/>
    <w:basedOn w:val="DefaultParagraphFont"/>
    <w:link w:val="BodyText2"/>
    <w:uiPriority w:val="99"/>
    <w:semiHidden/>
    <w:rsid w:val="000E4DB3"/>
    <w:rPr>
      <w:rFonts w:ascii="Arial" w:hAnsi="Arial"/>
    </w:rPr>
  </w:style>
  <w:style w:type="paragraph" w:styleId="TOCHeading">
    <w:name w:val="TOC Heading"/>
    <w:basedOn w:val="Heading1"/>
    <w:next w:val="Normal"/>
    <w:uiPriority w:val="39"/>
    <w:unhideWhenUsed/>
    <w:qFormat/>
    <w:rsid w:val="000D2CE5"/>
    <w:pPr>
      <w:numPr>
        <w:numId w:val="0"/>
      </w:numPr>
      <w:spacing w:after="0"/>
      <w:outlineLvl w:val="9"/>
    </w:pPr>
    <w:rPr>
      <w:rFonts w:asciiTheme="majorHAnsi" w:hAnsiTheme="majorHAnsi" w:cstheme="majorBidi"/>
      <w:caps w:val="0"/>
      <w:color w:val="365F91" w:themeColor="accent1" w:themeShade="BF"/>
      <w:lang w:val="en-US"/>
    </w:rPr>
  </w:style>
  <w:style w:type="paragraph" w:styleId="TOC1">
    <w:name w:val="toc 1"/>
    <w:basedOn w:val="Normal"/>
    <w:next w:val="Normal"/>
    <w:autoRedefine/>
    <w:uiPriority w:val="39"/>
    <w:unhideWhenUsed/>
    <w:rsid w:val="000D2CE5"/>
    <w:pPr>
      <w:spacing w:after="100"/>
    </w:pPr>
  </w:style>
  <w:style w:type="paragraph" w:styleId="TOC2">
    <w:name w:val="toc 2"/>
    <w:basedOn w:val="Normal"/>
    <w:next w:val="Normal"/>
    <w:autoRedefine/>
    <w:uiPriority w:val="39"/>
    <w:unhideWhenUsed/>
    <w:rsid w:val="000D2CE5"/>
    <w:pPr>
      <w:spacing w:after="100"/>
      <w:ind w:left="220"/>
    </w:pPr>
  </w:style>
  <w:style w:type="paragraph" w:styleId="TOC3">
    <w:name w:val="toc 3"/>
    <w:basedOn w:val="Normal"/>
    <w:next w:val="Normal"/>
    <w:autoRedefine/>
    <w:uiPriority w:val="39"/>
    <w:unhideWhenUsed/>
    <w:rsid w:val="000D2CE5"/>
    <w:pPr>
      <w:spacing w:after="100"/>
      <w:ind w:left="440"/>
    </w:pPr>
  </w:style>
  <w:style w:type="paragraph" w:styleId="ListBullet">
    <w:name w:val="List Bullet"/>
    <w:basedOn w:val="BodyText"/>
    <w:uiPriority w:val="2"/>
    <w:qFormat/>
    <w:rsid w:val="000A0284"/>
    <w:pPr>
      <w:numPr>
        <w:numId w:val="3"/>
      </w:numPr>
      <w:spacing w:before="80" w:line="280" w:lineRule="exact"/>
    </w:pPr>
    <w:rPr>
      <w:rFonts w:ascii="Garamond" w:hAnsi="Garamond" w:cs="Times New Roman"/>
      <w:b w:val="0"/>
      <w:bCs w:val="0"/>
      <w:snapToGrid/>
      <w:color w:val="auto"/>
      <w:sz w:val="24"/>
      <w:lang w:eastAsia="en-AU"/>
    </w:rPr>
  </w:style>
  <w:style w:type="paragraph" w:styleId="ListBullet2">
    <w:name w:val="List Bullet 2"/>
    <w:basedOn w:val="ListBullet"/>
    <w:uiPriority w:val="2"/>
    <w:qFormat/>
    <w:rsid w:val="000A0284"/>
    <w:pPr>
      <w:numPr>
        <w:ilvl w:val="1"/>
      </w:numPr>
    </w:pPr>
  </w:style>
  <w:style w:type="paragraph" w:styleId="ListBullet3">
    <w:name w:val="List Bullet 3"/>
    <w:basedOn w:val="ListBullet2"/>
    <w:uiPriority w:val="2"/>
    <w:qFormat/>
    <w:rsid w:val="000A0284"/>
    <w:pPr>
      <w:numPr>
        <w:ilvl w:val="2"/>
      </w:numPr>
    </w:pPr>
  </w:style>
  <w:style w:type="paragraph" w:customStyle="1" w:styleId="figure">
    <w:name w:val="figure"/>
    <w:basedOn w:val="Normal"/>
    <w:rsid w:val="00B034EF"/>
    <w:pPr>
      <w:overflowPunct w:val="0"/>
      <w:autoSpaceDE w:val="0"/>
      <w:autoSpaceDN w:val="0"/>
      <w:adjustRightInd w:val="0"/>
      <w:spacing w:before="120" w:after="0" w:line="300" w:lineRule="atLeast"/>
      <w:textAlignment w:val="baseline"/>
    </w:pPr>
    <w:rPr>
      <w:rFonts w:ascii="Times New Roman" w:eastAsia="Times New Roman" w:hAnsi="Times New Roman" w:cs="Times New Roman"/>
      <w:i/>
      <w:iCs/>
      <w:lang w:eastAsia="en-AU"/>
    </w:rPr>
  </w:style>
  <w:style w:type="character" w:customStyle="1" w:styleId="InstructionText">
    <w:name w:val="Instruction Text"/>
    <w:basedOn w:val="DefaultParagraphFont"/>
    <w:qFormat/>
    <w:rsid w:val="00371762"/>
    <w:rPr>
      <w:i/>
      <w:color w:val="0070C0"/>
    </w:rPr>
  </w:style>
  <w:style w:type="paragraph" w:customStyle="1" w:styleId="NormalItalics">
    <w:name w:val="NormalItalics"/>
    <w:basedOn w:val="Normal"/>
    <w:rsid w:val="00371762"/>
    <w:pPr>
      <w:spacing w:before="100" w:beforeAutospacing="1" w:after="100" w:afterAutospacing="1" w:line="240" w:lineRule="auto"/>
    </w:pPr>
    <w:rPr>
      <w:rFonts w:eastAsia="Times New Roman" w:cs="Times New Roman"/>
      <w:i/>
      <w:iCs/>
      <w:lang w:eastAsia="en-AU"/>
    </w:rPr>
  </w:style>
  <w:style w:type="paragraph" w:customStyle="1" w:styleId="Texttoreplace">
    <w:name w:val="Text to replace"/>
    <w:basedOn w:val="Normal"/>
    <w:link w:val="TexttoreplaceChar"/>
    <w:qFormat/>
    <w:rsid w:val="00162E62"/>
    <w:rPr>
      <w:rFonts w:ascii="Times New Roman" w:hAnsi="Times New Roman"/>
      <w:i/>
      <w:sz w:val="24"/>
    </w:rPr>
  </w:style>
  <w:style w:type="character" w:customStyle="1" w:styleId="TexttoreplaceChar">
    <w:name w:val="Text to replace Char"/>
    <w:basedOn w:val="DefaultParagraphFont"/>
    <w:link w:val="Texttoreplace"/>
    <w:rsid w:val="00162E62"/>
    <w:rPr>
      <w:rFonts w:ascii="Times New Roman" w:hAnsi="Times New Roman"/>
      <w:i/>
      <w:sz w:val="24"/>
    </w:rPr>
  </w:style>
  <w:style w:type="paragraph" w:customStyle="1" w:styleId="NormalItalic">
    <w:name w:val="NormalItalic"/>
    <w:basedOn w:val="Normal"/>
    <w:rsid w:val="007649C4"/>
    <w:pPr>
      <w:spacing w:before="100" w:beforeAutospacing="1" w:after="100" w:afterAutospacing="1" w:line="240" w:lineRule="auto"/>
    </w:pPr>
    <w:rPr>
      <w:rFonts w:eastAsia="Times New Roman" w:cs="Arial"/>
      <w:i/>
      <w:iCs/>
      <w:lang w:eastAsia="en-AU"/>
    </w:rPr>
  </w:style>
  <w:style w:type="paragraph" w:customStyle="1" w:styleId="indentbullet21">
    <w:name w:val="indentbullet21"/>
    <w:basedOn w:val="Normal"/>
    <w:rsid w:val="002425A3"/>
    <w:pPr>
      <w:spacing w:before="48" w:after="0" w:line="240" w:lineRule="auto"/>
      <w:ind w:left="552" w:hanging="264"/>
    </w:pPr>
    <w:rPr>
      <w:rFonts w:ascii="Times New Roman" w:eastAsia="Times New Roman" w:hAnsi="Times New Roman" w:cs="Times New Roman"/>
      <w:sz w:val="19"/>
      <w:szCs w:val="19"/>
      <w:lang w:eastAsia="en-AU"/>
    </w:rPr>
  </w:style>
  <w:style w:type="paragraph" w:styleId="Revision">
    <w:name w:val="Revision"/>
    <w:hidden/>
    <w:uiPriority w:val="99"/>
    <w:semiHidden/>
    <w:rsid w:val="008C16CF"/>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56130876">
      <w:bodyDiv w:val="1"/>
      <w:marLeft w:val="0"/>
      <w:marRight w:val="0"/>
      <w:marTop w:val="0"/>
      <w:marBottom w:val="0"/>
      <w:divBdr>
        <w:top w:val="none" w:sz="0" w:space="0" w:color="auto"/>
        <w:left w:val="none" w:sz="0" w:space="0" w:color="auto"/>
        <w:bottom w:val="none" w:sz="0" w:space="0" w:color="auto"/>
        <w:right w:val="none" w:sz="0" w:space="0" w:color="auto"/>
      </w:divBdr>
    </w:div>
    <w:div w:id="67534294">
      <w:bodyDiv w:val="1"/>
      <w:marLeft w:val="0"/>
      <w:marRight w:val="0"/>
      <w:marTop w:val="0"/>
      <w:marBottom w:val="0"/>
      <w:divBdr>
        <w:top w:val="none" w:sz="0" w:space="0" w:color="auto"/>
        <w:left w:val="none" w:sz="0" w:space="0" w:color="auto"/>
        <w:bottom w:val="none" w:sz="0" w:space="0" w:color="auto"/>
        <w:right w:val="none" w:sz="0" w:space="0" w:color="auto"/>
      </w:divBdr>
    </w:div>
    <w:div w:id="154422138">
      <w:bodyDiv w:val="1"/>
      <w:marLeft w:val="0"/>
      <w:marRight w:val="0"/>
      <w:marTop w:val="0"/>
      <w:marBottom w:val="0"/>
      <w:divBdr>
        <w:top w:val="none" w:sz="0" w:space="0" w:color="auto"/>
        <w:left w:val="none" w:sz="0" w:space="0" w:color="auto"/>
        <w:bottom w:val="none" w:sz="0" w:space="0" w:color="auto"/>
        <w:right w:val="none" w:sz="0" w:space="0" w:color="auto"/>
      </w:divBdr>
    </w:div>
    <w:div w:id="164246296">
      <w:bodyDiv w:val="1"/>
      <w:marLeft w:val="0"/>
      <w:marRight w:val="0"/>
      <w:marTop w:val="0"/>
      <w:marBottom w:val="0"/>
      <w:divBdr>
        <w:top w:val="none" w:sz="0" w:space="0" w:color="auto"/>
        <w:left w:val="none" w:sz="0" w:space="0" w:color="auto"/>
        <w:bottom w:val="none" w:sz="0" w:space="0" w:color="auto"/>
        <w:right w:val="none" w:sz="0" w:space="0" w:color="auto"/>
      </w:divBdr>
    </w:div>
    <w:div w:id="259218831">
      <w:bodyDiv w:val="1"/>
      <w:marLeft w:val="0"/>
      <w:marRight w:val="0"/>
      <w:marTop w:val="0"/>
      <w:marBottom w:val="0"/>
      <w:divBdr>
        <w:top w:val="none" w:sz="0" w:space="0" w:color="auto"/>
        <w:left w:val="none" w:sz="0" w:space="0" w:color="auto"/>
        <w:bottom w:val="none" w:sz="0" w:space="0" w:color="auto"/>
        <w:right w:val="none" w:sz="0" w:space="0" w:color="auto"/>
      </w:divBdr>
    </w:div>
    <w:div w:id="320083697">
      <w:bodyDiv w:val="1"/>
      <w:marLeft w:val="0"/>
      <w:marRight w:val="0"/>
      <w:marTop w:val="0"/>
      <w:marBottom w:val="0"/>
      <w:divBdr>
        <w:top w:val="none" w:sz="0" w:space="0" w:color="auto"/>
        <w:left w:val="none" w:sz="0" w:space="0" w:color="auto"/>
        <w:bottom w:val="none" w:sz="0" w:space="0" w:color="auto"/>
        <w:right w:val="none" w:sz="0" w:space="0" w:color="auto"/>
      </w:divBdr>
      <w:divsChild>
        <w:div w:id="1154830522">
          <w:marLeft w:val="0"/>
          <w:marRight w:val="0"/>
          <w:marTop w:val="0"/>
          <w:marBottom w:val="0"/>
          <w:divBdr>
            <w:top w:val="none" w:sz="0" w:space="0" w:color="auto"/>
            <w:left w:val="none" w:sz="0" w:space="0" w:color="auto"/>
            <w:bottom w:val="none" w:sz="0" w:space="0" w:color="auto"/>
            <w:right w:val="none" w:sz="0" w:space="0" w:color="auto"/>
          </w:divBdr>
          <w:divsChild>
            <w:div w:id="121123428">
              <w:marLeft w:val="0"/>
              <w:marRight w:val="0"/>
              <w:marTop w:val="0"/>
              <w:marBottom w:val="0"/>
              <w:divBdr>
                <w:top w:val="none" w:sz="0" w:space="0" w:color="auto"/>
                <w:left w:val="none" w:sz="0" w:space="0" w:color="auto"/>
                <w:bottom w:val="none" w:sz="0" w:space="0" w:color="auto"/>
                <w:right w:val="none" w:sz="0" w:space="0" w:color="auto"/>
              </w:divBdr>
              <w:divsChild>
                <w:div w:id="279577260">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4107">
      <w:bodyDiv w:val="1"/>
      <w:marLeft w:val="0"/>
      <w:marRight w:val="0"/>
      <w:marTop w:val="0"/>
      <w:marBottom w:val="0"/>
      <w:divBdr>
        <w:top w:val="none" w:sz="0" w:space="0" w:color="auto"/>
        <w:left w:val="none" w:sz="0" w:space="0" w:color="auto"/>
        <w:bottom w:val="none" w:sz="0" w:space="0" w:color="auto"/>
        <w:right w:val="none" w:sz="0" w:space="0" w:color="auto"/>
      </w:divBdr>
    </w:div>
    <w:div w:id="388653026">
      <w:bodyDiv w:val="1"/>
      <w:marLeft w:val="0"/>
      <w:marRight w:val="0"/>
      <w:marTop w:val="0"/>
      <w:marBottom w:val="0"/>
      <w:divBdr>
        <w:top w:val="none" w:sz="0" w:space="0" w:color="auto"/>
        <w:left w:val="none" w:sz="0" w:space="0" w:color="auto"/>
        <w:bottom w:val="none" w:sz="0" w:space="0" w:color="auto"/>
        <w:right w:val="none" w:sz="0" w:space="0" w:color="auto"/>
      </w:divBdr>
    </w:div>
    <w:div w:id="404495583">
      <w:bodyDiv w:val="1"/>
      <w:marLeft w:val="0"/>
      <w:marRight w:val="0"/>
      <w:marTop w:val="0"/>
      <w:marBottom w:val="0"/>
      <w:divBdr>
        <w:top w:val="none" w:sz="0" w:space="0" w:color="auto"/>
        <w:left w:val="none" w:sz="0" w:space="0" w:color="auto"/>
        <w:bottom w:val="none" w:sz="0" w:space="0" w:color="auto"/>
        <w:right w:val="none" w:sz="0" w:space="0" w:color="auto"/>
      </w:divBdr>
      <w:divsChild>
        <w:div w:id="62601614">
          <w:marLeft w:val="0"/>
          <w:marRight w:val="0"/>
          <w:marTop w:val="0"/>
          <w:marBottom w:val="0"/>
          <w:divBdr>
            <w:top w:val="none" w:sz="0" w:space="0" w:color="auto"/>
            <w:left w:val="none" w:sz="0" w:space="0" w:color="auto"/>
            <w:bottom w:val="none" w:sz="0" w:space="0" w:color="auto"/>
            <w:right w:val="none" w:sz="0" w:space="0" w:color="auto"/>
          </w:divBdr>
          <w:divsChild>
            <w:div w:id="1566909593">
              <w:marLeft w:val="122"/>
              <w:marRight w:val="109"/>
              <w:marTop w:val="14"/>
              <w:marBottom w:val="0"/>
              <w:divBdr>
                <w:top w:val="none" w:sz="0" w:space="0" w:color="auto"/>
                <w:left w:val="none" w:sz="0" w:space="0" w:color="auto"/>
                <w:bottom w:val="none" w:sz="0" w:space="0" w:color="auto"/>
                <w:right w:val="none" w:sz="0" w:space="0" w:color="auto"/>
              </w:divBdr>
              <w:divsChild>
                <w:div w:id="1490944666">
                  <w:marLeft w:val="0"/>
                  <w:marRight w:val="0"/>
                  <w:marTop w:val="0"/>
                  <w:marBottom w:val="0"/>
                  <w:divBdr>
                    <w:top w:val="none" w:sz="0" w:space="0" w:color="auto"/>
                    <w:left w:val="none" w:sz="0" w:space="0" w:color="auto"/>
                    <w:bottom w:val="none" w:sz="0" w:space="0" w:color="auto"/>
                    <w:right w:val="none" w:sz="0" w:space="0" w:color="auto"/>
                  </w:divBdr>
                  <w:divsChild>
                    <w:div w:id="832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0692">
      <w:bodyDiv w:val="1"/>
      <w:marLeft w:val="0"/>
      <w:marRight w:val="0"/>
      <w:marTop w:val="0"/>
      <w:marBottom w:val="0"/>
      <w:divBdr>
        <w:top w:val="none" w:sz="0" w:space="0" w:color="auto"/>
        <w:left w:val="none" w:sz="0" w:space="0" w:color="auto"/>
        <w:bottom w:val="none" w:sz="0" w:space="0" w:color="auto"/>
        <w:right w:val="none" w:sz="0" w:space="0" w:color="auto"/>
      </w:divBdr>
    </w:div>
    <w:div w:id="510873540">
      <w:bodyDiv w:val="1"/>
      <w:marLeft w:val="0"/>
      <w:marRight w:val="0"/>
      <w:marTop w:val="0"/>
      <w:marBottom w:val="0"/>
      <w:divBdr>
        <w:top w:val="none" w:sz="0" w:space="0" w:color="auto"/>
        <w:left w:val="none" w:sz="0" w:space="0" w:color="auto"/>
        <w:bottom w:val="none" w:sz="0" w:space="0" w:color="auto"/>
        <w:right w:val="none" w:sz="0" w:space="0" w:color="auto"/>
      </w:divBdr>
    </w:div>
    <w:div w:id="559289477">
      <w:bodyDiv w:val="1"/>
      <w:marLeft w:val="0"/>
      <w:marRight w:val="0"/>
      <w:marTop w:val="0"/>
      <w:marBottom w:val="0"/>
      <w:divBdr>
        <w:top w:val="none" w:sz="0" w:space="0" w:color="auto"/>
        <w:left w:val="none" w:sz="0" w:space="0" w:color="auto"/>
        <w:bottom w:val="none" w:sz="0" w:space="0" w:color="auto"/>
        <w:right w:val="none" w:sz="0" w:space="0" w:color="auto"/>
      </w:divBdr>
    </w:div>
    <w:div w:id="646519838">
      <w:bodyDiv w:val="1"/>
      <w:marLeft w:val="0"/>
      <w:marRight w:val="0"/>
      <w:marTop w:val="0"/>
      <w:marBottom w:val="0"/>
      <w:divBdr>
        <w:top w:val="none" w:sz="0" w:space="0" w:color="auto"/>
        <w:left w:val="none" w:sz="0" w:space="0" w:color="auto"/>
        <w:bottom w:val="none" w:sz="0" w:space="0" w:color="auto"/>
        <w:right w:val="none" w:sz="0" w:space="0" w:color="auto"/>
      </w:divBdr>
    </w:div>
    <w:div w:id="711616974">
      <w:bodyDiv w:val="1"/>
      <w:marLeft w:val="0"/>
      <w:marRight w:val="0"/>
      <w:marTop w:val="0"/>
      <w:marBottom w:val="0"/>
      <w:divBdr>
        <w:top w:val="none" w:sz="0" w:space="0" w:color="auto"/>
        <w:left w:val="none" w:sz="0" w:space="0" w:color="auto"/>
        <w:bottom w:val="none" w:sz="0" w:space="0" w:color="auto"/>
        <w:right w:val="none" w:sz="0" w:space="0" w:color="auto"/>
      </w:divBdr>
    </w:div>
    <w:div w:id="720444495">
      <w:bodyDiv w:val="1"/>
      <w:marLeft w:val="0"/>
      <w:marRight w:val="0"/>
      <w:marTop w:val="0"/>
      <w:marBottom w:val="0"/>
      <w:divBdr>
        <w:top w:val="none" w:sz="0" w:space="0" w:color="auto"/>
        <w:left w:val="none" w:sz="0" w:space="0" w:color="auto"/>
        <w:bottom w:val="none" w:sz="0" w:space="0" w:color="auto"/>
        <w:right w:val="none" w:sz="0" w:space="0" w:color="auto"/>
      </w:divBdr>
    </w:div>
    <w:div w:id="747728133">
      <w:bodyDiv w:val="1"/>
      <w:marLeft w:val="0"/>
      <w:marRight w:val="0"/>
      <w:marTop w:val="0"/>
      <w:marBottom w:val="0"/>
      <w:divBdr>
        <w:top w:val="none" w:sz="0" w:space="0" w:color="auto"/>
        <w:left w:val="none" w:sz="0" w:space="0" w:color="auto"/>
        <w:bottom w:val="none" w:sz="0" w:space="0" w:color="auto"/>
        <w:right w:val="none" w:sz="0" w:space="0" w:color="auto"/>
      </w:divBdr>
    </w:div>
    <w:div w:id="823354746">
      <w:bodyDiv w:val="1"/>
      <w:marLeft w:val="0"/>
      <w:marRight w:val="0"/>
      <w:marTop w:val="0"/>
      <w:marBottom w:val="0"/>
      <w:divBdr>
        <w:top w:val="none" w:sz="0" w:space="0" w:color="auto"/>
        <w:left w:val="none" w:sz="0" w:space="0" w:color="auto"/>
        <w:bottom w:val="none" w:sz="0" w:space="0" w:color="auto"/>
        <w:right w:val="none" w:sz="0" w:space="0" w:color="auto"/>
      </w:divBdr>
    </w:div>
    <w:div w:id="857044812">
      <w:bodyDiv w:val="1"/>
      <w:marLeft w:val="0"/>
      <w:marRight w:val="0"/>
      <w:marTop w:val="0"/>
      <w:marBottom w:val="0"/>
      <w:divBdr>
        <w:top w:val="none" w:sz="0" w:space="0" w:color="auto"/>
        <w:left w:val="none" w:sz="0" w:space="0" w:color="auto"/>
        <w:bottom w:val="none" w:sz="0" w:space="0" w:color="auto"/>
        <w:right w:val="none" w:sz="0" w:space="0" w:color="auto"/>
      </w:divBdr>
    </w:div>
    <w:div w:id="870384717">
      <w:bodyDiv w:val="1"/>
      <w:marLeft w:val="0"/>
      <w:marRight w:val="0"/>
      <w:marTop w:val="0"/>
      <w:marBottom w:val="0"/>
      <w:divBdr>
        <w:top w:val="none" w:sz="0" w:space="0" w:color="auto"/>
        <w:left w:val="none" w:sz="0" w:space="0" w:color="auto"/>
        <w:bottom w:val="none" w:sz="0" w:space="0" w:color="auto"/>
        <w:right w:val="none" w:sz="0" w:space="0" w:color="auto"/>
      </w:divBdr>
      <w:divsChild>
        <w:div w:id="2082019224">
          <w:marLeft w:val="0"/>
          <w:marRight w:val="0"/>
          <w:marTop w:val="0"/>
          <w:marBottom w:val="0"/>
          <w:divBdr>
            <w:top w:val="none" w:sz="0" w:space="0" w:color="auto"/>
            <w:left w:val="none" w:sz="0" w:space="0" w:color="auto"/>
            <w:bottom w:val="none" w:sz="0" w:space="0" w:color="auto"/>
            <w:right w:val="none" w:sz="0" w:space="0" w:color="auto"/>
          </w:divBdr>
          <w:divsChild>
            <w:div w:id="2054885420">
              <w:marLeft w:val="0"/>
              <w:marRight w:val="0"/>
              <w:marTop w:val="0"/>
              <w:marBottom w:val="0"/>
              <w:divBdr>
                <w:top w:val="none" w:sz="0" w:space="0" w:color="auto"/>
                <w:left w:val="none" w:sz="0" w:space="0" w:color="auto"/>
                <w:bottom w:val="none" w:sz="0" w:space="0" w:color="auto"/>
                <w:right w:val="none" w:sz="0" w:space="0" w:color="auto"/>
              </w:divBdr>
              <w:divsChild>
                <w:div w:id="1350180779">
                  <w:marLeft w:val="0"/>
                  <w:marRight w:val="0"/>
                  <w:marTop w:val="0"/>
                  <w:marBottom w:val="0"/>
                  <w:divBdr>
                    <w:top w:val="none" w:sz="0" w:space="0" w:color="auto"/>
                    <w:left w:val="none" w:sz="0" w:space="0" w:color="auto"/>
                    <w:bottom w:val="none" w:sz="0" w:space="0" w:color="auto"/>
                    <w:right w:val="none" w:sz="0" w:space="0" w:color="auto"/>
                  </w:divBdr>
                  <w:divsChild>
                    <w:div w:id="14810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642">
      <w:bodyDiv w:val="1"/>
      <w:marLeft w:val="0"/>
      <w:marRight w:val="0"/>
      <w:marTop w:val="0"/>
      <w:marBottom w:val="0"/>
      <w:divBdr>
        <w:top w:val="none" w:sz="0" w:space="0" w:color="auto"/>
        <w:left w:val="none" w:sz="0" w:space="0" w:color="auto"/>
        <w:bottom w:val="none" w:sz="0" w:space="0" w:color="auto"/>
        <w:right w:val="none" w:sz="0" w:space="0" w:color="auto"/>
      </w:divBdr>
    </w:div>
    <w:div w:id="1001662889">
      <w:bodyDiv w:val="1"/>
      <w:marLeft w:val="0"/>
      <w:marRight w:val="0"/>
      <w:marTop w:val="0"/>
      <w:marBottom w:val="0"/>
      <w:divBdr>
        <w:top w:val="none" w:sz="0" w:space="0" w:color="auto"/>
        <w:left w:val="none" w:sz="0" w:space="0" w:color="auto"/>
        <w:bottom w:val="none" w:sz="0" w:space="0" w:color="auto"/>
        <w:right w:val="none" w:sz="0" w:space="0" w:color="auto"/>
      </w:divBdr>
    </w:div>
    <w:div w:id="1100447052">
      <w:bodyDiv w:val="1"/>
      <w:marLeft w:val="0"/>
      <w:marRight w:val="0"/>
      <w:marTop w:val="0"/>
      <w:marBottom w:val="0"/>
      <w:divBdr>
        <w:top w:val="none" w:sz="0" w:space="0" w:color="auto"/>
        <w:left w:val="none" w:sz="0" w:space="0" w:color="auto"/>
        <w:bottom w:val="none" w:sz="0" w:space="0" w:color="auto"/>
        <w:right w:val="none" w:sz="0" w:space="0" w:color="auto"/>
      </w:divBdr>
    </w:div>
    <w:div w:id="1163816476">
      <w:bodyDiv w:val="1"/>
      <w:marLeft w:val="0"/>
      <w:marRight w:val="0"/>
      <w:marTop w:val="0"/>
      <w:marBottom w:val="0"/>
      <w:divBdr>
        <w:top w:val="none" w:sz="0" w:space="0" w:color="auto"/>
        <w:left w:val="none" w:sz="0" w:space="0" w:color="auto"/>
        <w:bottom w:val="none" w:sz="0" w:space="0" w:color="auto"/>
        <w:right w:val="none" w:sz="0" w:space="0" w:color="auto"/>
      </w:divBdr>
    </w:div>
    <w:div w:id="1176306797">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8">
          <w:marLeft w:val="0"/>
          <w:marRight w:val="0"/>
          <w:marTop w:val="0"/>
          <w:marBottom w:val="0"/>
          <w:divBdr>
            <w:top w:val="none" w:sz="0" w:space="0" w:color="auto"/>
            <w:left w:val="none" w:sz="0" w:space="0" w:color="auto"/>
            <w:bottom w:val="none" w:sz="0" w:space="0" w:color="auto"/>
            <w:right w:val="none" w:sz="0" w:space="0" w:color="auto"/>
          </w:divBdr>
          <w:divsChild>
            <w:div w:id="1221481981">
              <w:marLeft w:val="0"/>
              <w:marRight w:val="0"/>
              <w:marTop w:val="0"/>
              <w:marBottom w:val="0"/>
              <w:divBdr>
                <w:top w:val="none" w:sz="0" w:space="0" w:color="auto"/>
                <w:left w:val="none" w:sz="0" w:space="0" w:color="auto"/>
                <w:bottom w:val="none" w:sz="0" w:space="0" w:color="auto"/>
                <w:right w:val="none" w:sz="0" w:space="0" w:color="auto"/>
              </w:divBdr>
              <w:divsChild>
                <w:div w:id="9011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8691">
      <w:bodyDiv w:val="1"/>
      <w:marLeft w:val="0"/>
      <w:marRight w:val="0"/>
      <w:marTop w:val="0"/>
      <w:marBottom w:val="0"/>
      <w:divBdr>
        <w:top w:val="none" w:sz="0" w:space="0" w:color="auto"/>
        <w:left w:val="none" w:sz="0" w:space="0" w:color="auto"/>
        <w:bottom w:val="none" w:sz="0" w:space="0" w:color="auto"/>
        <w:right w:val="none" w:sz="0" w:space="0" w:color="auto"/>
      </w:divBdr>
    </w:div>
    <w:div w:id="1248659727">
      <w:bodyDiv w:val="1"/>
      <w:marLeft w:val="0"/>
      <w:marRight w:val="0"/>
      <w:marTop w:val="0"/>
      <w:marBottom w:val="0"/>
      <w:divBdr>
        <w:top w:val="none" w:sz="0" w:space="0" w:color="auto"/>
        <w:left w:val="none" w:sz="0" w:space="0" w:color="auto"/>
        <w:bottom w:val="none" w:sz="0" w:space="0" w:color="auto"/>
        <w:right w:val="none" w:sz="0" w:space="0" w:color="auto"/>
      </w:divBdr>
    </w:div>
    <w:div w:id="1429350686">
      <w:bodyDiv w:val="1"/>
      <w:marLeft w:val="0"/>
      <w:marRight w:val="0"/>
      <w:marTop w:val="0"/>
      <w:marBottom w:val="0"/>
      <w:divBdr>
        <w:top w:val="none" w:sz="0" w:space="0" w:color="auto"/>
        <w:left w:val="none" w:sz="0" w:space="0" w:color="auto"/>
        <w:bottom w:val="none" w:sz="0" w:space="0" w:color="auto"/>
        <w:right w:val="none" w:sz="0" w:space="0" w:color="auto"/>
      </w:divBdr>
    </w:div>
    <w:div w:id="1433741412">
      <w:bodyDiv w:val="1"/>
      <w:marLeft w:val="0"/>
      <w:marRight w:val="0"/>
      <w:marTop w:val="0"/>
      <w:marBottom w:val="0"/>
      <w:divBdr>
        <w:top w:val="none" w:sz="0" w:space="0" w:color="auto"/>
        <w:left w:val="none" w:sz="0" w:space="0" w:color="auto"/>
        <w:bottom w:val="none" w:sz="0" w:space="0" w:color="auto"/>
        <w:right w:val="none" w:sz="0" w:space="0" w:color="auto"/>
      </w:divBdr>
    </w:div>
    <w:div w:id="1476799821">
      <w:bodyDiv w:val="1"/>
      <w:marLeft w:val="0"/>
      <w:marRight w:val="0"/>
      <w:marTop w:val="0"/>
      <w:marBottom w:val="0"/>
      <w:divBdr>
        <w:top w:val="none" w:sz="0" w:space="0" w:color="auto"/>
        <w:left w:val="none" w:sz="0" w:space="0" w:color="auto"/>
        <w:bottom w:val="none" w:sz="0" w:space="0" w:color="auto"/>
        <w:right w:val="none" w:sz="0" w:space="0" w:color="auto"/>
      </w:divBdr>
    </w:div>
    <w:div w:id="1477340258">
      <w:bodyDiv w:val="1"/>
      <w:marLeft w:val="0"/>
      <w:marRight w:val="0"/>
      <w:marTop w:val="0"/>
      <w:marBottom w:val="0"/>
      <w:divBdr>
        <w:top w:val="none" w:sz="0" w:space="0" w:color="auto"/>
        <w:left w:val="none" w:sz="0" w:space="0" w:color="auto"/>
        <w:bottom w:val="none" w:sz="0" w:space="0" w:color="auto"/>
        <w:right w:val="none" w:sz="0" w:space="0" w:color="auto"/>
      </w:divBdr>
    </w:div>
    <w:div w:id="1535998098">
      <w:bodyDiv w:val="1"/>
      <w:marLeft w:val="0"/>
      <w:marRight w:val="0"/>
      <w:marTop w:val="0"/>
      <w:marBottom w:val="0"/>
      <w:divBdr>
        <w:top w:val="none" w:sz="0" w:space="0" w:color="auto"/>
        <w:left w:val="none" w:sz="0" w:space="0" w:color="auto"/>
        <w:bottom w:val="none" w:sz="0" w:space="0" w:color="auto"/>
        <w:right w:val="none" w:sz="0" w:space="0" w:color="auto"/>
      </w:divBdr>
    </w:div>
    <w:div w:id="1667442891">
      <w:bodyDiv w:val="1"/>
      <w:marLeft w:val="0"/>
      <w:marRight w:val="0"/>
      <w:marTop w:val="0"/>
      <w:marBottom w:val="0"/>
      <w:divBdr>
        <w:top w:val="none" w:sz="0" w:space="0" w:color="auto"/>
        <w:left w:val="none" w:sz="0" w:space="0" w:color="auto"/>
        <w:bottom w:val="none" w:sz="0" w:space="0" w:color="auto"/>
        <w:right w:val="none" w:sz="0" w:space="0" w:color="auto"/>
      </w:divBdr>
    </w:div>
    <w:div w:id="1781679285">
      <w:bodyDiv w:val="1"/>
      <w:marLeft w:val="0"/>
      <w:marRight w:val="0"/>
      <w:marTop w:val="0"/>
      <w:marBottom w:val="0"/>
      <w:divBdr>
        <w:top w:val="none" w:sz="0" w:space="0" w:color="auto"/>
        <w:left w:val="none" w:sz="0" w:space="0" w:color="auto"/>
        <w:bottom w:val="none" w:sz="0" w:space="0" w:color="auto"/>
        <w:right w:val="none" w:sz="0" w:space="0" w:color="auto"/>
      </w:divBdr>
    </w:div>
    <w:div w:id="1842507210">
      <w:bodyDiv w:val="1"/>
      <w:marLeft w:val="0"/>
      <w:marRight w:val="0"/>
      <w:marTop w:val="0"/>
      <w:marBottom w:val="0"/>
      <w:divBdr>
        <w:top w:val="none" w:sz="0" w:space="0" w:color="auto"/>
        <w:left w:val="none" w:sz="0" w:space="0" w:color="auto"/>
        <w:bottom w:val="none" w:sz="0" w:space="0" w:color="auto"/>
        <w:right w:val="none" w:sz="0" w:space="0" w:color="auto"/>
      </w:divBdr>
    </w:div>
    <w:div w:id="1885099594">
      <w:bodyDiv w:val="1"/>
      <w:marLeft w:val="0"/>
      <w:marRight w:val="0"/>
      <w:marTop w:val="0"/>
      <w:marBottom w:val="0"/>
      <w:divBdr>
        <w:top w:val="none" w:sz="0" w:space="0" w:color="auto"/>
        <w:left w:val="none" w:sz="0" w:space="0" w:color="auto"/>
        <w:bottom w:val="none" w:sz="0" w:space="0" w:color="auto"/>
        <w:right w:val="none" w:sz="0" w:space="0" w:color="auto"/>
      </w:divBdr>
      <w:divsChild>
        <w:div w:id="1149204728">
          <w:marLeft w:val="0"/>
          <w:marRight w:val="0"/>
          <w:marTop w:val="0"/>
          <w:marBottom w:val="0"/>
          <w:divBdr>
            <w:top w:val="none" w:sz="0" w:space="0" w:color="auto"/>
            <w:left w:val="none" w:sz="0" w:space="0" w:color="auto"/>
            <w:bottom w:val="none" w:sz="0" w:space="0" w:color="auto"/>
            <w:right w:val="none" w:sz="0" w:space="0" w:color="auto"/>
          </w:divBdr>
          <w:divsChild>
            <w:div w:id="767967378">
              <w:marLeft w:val="0"/>
              <w:marRight w:val="0"/>
              <w:marTop w:val="0"/>
              <w:marBottom w:val="0"/>
              <w:divBdr>
                <w:top w:val="none" w:sz="0" w:space="0" w:color="auto"/>
                <w:left w:val="none" w:sz="0" w:space="0" w:color="auto"/>
                <w:bottom w:val="none" w:sz="0" w:space="0" w:color="auto"/>
                <w:right w:val="none" w:sz="0" w:space="0" w:color="auto"/>
              </w:divBdr>
              <w:divsChild>
                <w:div w:id="1261835483">
                  <w:marLeft w:val="0"/>
                  <w:marRight w:val="0"/>
                  <w:marTop w:val="0"/>
                  <w:marBottom w:val="0"/>
                  <w:divBdr>
                    <w:top w:val="none" w:sz="0" w:space="0" w:color="auto"/>
                    <w:left w:val="none" w:sz="0" w:space="0" w:color="auto"/>
                    <w:bottom w:val="none" w:sz="0" w:space="0" w:color="auto"/>
                    <w:right w:val="none" w:sz="0" w:space="0" w:color="auto"/>
                  </w:divBdr>
                  <w:divsChild>
                    <w:div w:id="4068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6004">
      <w:bodyDiv w:val="1"/>
      <w:marLeft w:val="0"/>
      <w:marRight w:val="0"/>
      <w:marTop w:val="0"/>
      <w:marBottom w:val="0"/>
      <w:divBdr>
        <w:top w:val="none" w:sz="0" w:space="0" w:color="auto"/>
        <w:left w:val="none" w:sz="0" w:space="0" w:color="auto"/>
        <w:bottom w:val="none" w:sz="0" w:space="0" w:color="auto"/>
        <w:right w:val="none" w:sz="0" w:space="0" w:color="auto"/>
      </w:divBdr>
    </w:div>
    <w:div w:id="1936010629">
      <w:bodyDiv w:val="1"/>
      <w:marLeft w:val="0"/>
      <w:marRight w:val="0"/>
      <w:marTop w:val="0"/>
      <w:marBottom w:val="0"/>
      <w:divBdr>
        <w:top w:val="none" w:sz="0" w:space="0" w:color="auto"/>
        <w:left w:val="none" w:sz="0" w:space="0" w:color="auto"/>
        <w:bottom w:val="none" w:sz="0" w:space="0" w:color="auto"/>
        <w:right w:val="none" w:sz="0" w:space="0" w:color="auto"/>
      </w:divBdr>
      <w:divsChild>
        <w:div w:id="1030954052">
          <w:marLeft w:val="0"/>
          <w:marRight w:val="0"/>
          <w:marTop w:val="0"/>
          <w:marBottom w:val="0"/>
          <w:divBdr>
            <w:top w:val="none" w:sz="0" w:space="0" w:color="auto"/>
            <w:left w:val="none" w:sz="0" w:space="0" w:color="auto"/>
            <w:bottom w:val="none" w:sz="0" w:space="0" w:color="auto"/>
            <w:right w:val="none" w:sz="0" w:space="0" w:color="auto"/>
          </w:divBdr>
          <w:divsChild>
            <w:div w:id="1466435676">
              <w:marLeft w:val="0"/>
              <w:marRight w:val="0"/>
              <w:marTop w:val="0"/>
              <w:marBottom w:val="0"/>
              <w:divBdr>
                <w:top w:val="none" w:sz="0" w:space="0" w:color="auto"/>
                <w:left w:val="none" w:sz="0" w:space="0" w:color="auto"/>
                <w:bottom w:val="none" w:sz="0" w:space="0" w:color="auto"/>
                <w:right w:val="none" w:sz="0" w:space="0" w:color="auto"/>
              </w:divBdr>
              <w:divsChild>
                <w:div w:id="16482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64349">
      <w:bodyDiv w:val="1"/>
      <w:marLeft w:val="0"/>
      <w:marRight w:val="0"/>
      <w:marTop w:val="0"/>
      <w:marBottom w:val="0"/>
      <w:divBdr>
        <w:top w:val="none" w:sz="0" w:space="0" w:color="auto"/>
        <w:left w:val="none" w:sz="0" w:space="0" w:color="auto"/>
        <w:bottom w:val="none" w:sz="0" w:space="0" w:color="auto"/>
        <w:right w:val="none" w:sz="0" w:space="0" w:color="auto"/>
      </w:divBdr>
    </w:div>
    <w:div w:id="1974434270">
      <w:bodyDiv w:val="1"/>
      <w:marLeft w:val="0"/>
      <w:marRight w:val="0"/>
      <w:marTop w:val="0"/>
      <w:marBottom w:val="0"/>
      <w:divBdr>
        <w:top w:val="none" w:sz="0" w:space="0" w:color="auto"/>
        <w:left w:val="none" w:sz="0" w:space="0" w:color="auto"/>
        <w:bottom w:val="none" w:sz="0" w:space="0" w:color="auto"/>
        <w:right w:val="none" w:sz="0" w:space="0" w:color="auto"/>
      </w:divBdr>
    </w:div>
    <w:div w:id="1996102340">
      <w:bodyDiv w:val="1"/>
      <w:marLeft w:val="0"/>
      <w:marRight w:val="0"/>
      <w:marTop w:val="0"/>
      <w:marBottom w:val="0"/>
      <w:divBdr>
        <w:top w:val="none" w:sz="0" w:space="0" w:color="auto"/>
        <w:left w:val="none" w:sz="0" w:space="0" w:color="auto"/>
        <w:bottom w:val="none" w:sz="0" w:space="0" w:color="auto"/>
        <w:right w:val="none" w:sz="0" w:space="0" w:color="auto"/>
      </w:divBdr>
      <w:divsChild>
        <w:div w:id="1651902424">
          <w:marLeft w:val="0"/>
          <w:marRight w:val="0"/>
          <w:marTop w:val="0"/>
          <w:marBottom w:val="0"/>
          <w:divBdr>
            <w:top w:val="none" w:sz="0" w:space="0" w:color="auto"/>
            <w:left w:val="none" w:sz="0" w:space="0" w:color="auto"/>
            <w:bottom w:val="none" w:sz="0" w:space="0" w:color="auto"/>
            <w:right w:val="none" w:sz="0" w:space="0" w:color="auto"/>
          </w:divBdr>
          <w:divsChild>
            <w:div w:id="190383617">
              <w:marLeft w:val="0"/>
              <w:marRight w:val="0"/>
              <w:marTop w:val="0"/>
              <w:marBottom w:val="0"/>
              <w:divBdr>
                <w:top w:val="none" w:sz="0" w:space="0" w:color="auto"/>
                <w:left w:val="none" w:sz="0" w:space="0" w:color="auto"/>
                <w:bottom w:val="none" w:sz="0" w:space="0" w:color="auto"/>
                <w:right w:val="none" w:sz="0" w:space="0" w:color="auto"/>
              </w:divBdr>
              <w:divsChild>
                <w:div w:id="2136752743">
                  <w:marLeft w:val="0"/>
                  <w:marRight w:val="0"/>
                  <w:marTop w:val="0"/>
                  <w:marBottom w:val="0"/>
                  <w:divBdr>
                    <w:top w:val="none" w:sz="0" w:space="0" w:color="auto"/>
                    <w:left w:val="none" w:sz="0" w:space="0" w:color="auto"/>
                    <w:bottom w:val="none" w:sz="0" w:space="0" w:color="auto"/>
                    <w:right w:val="none" w:sz="0" w:space="0" w:color="auto"/>
                  </w:divBdr>
                  <w:divsChild>
                    <w:div w:id="235626222">
                      <w:marLeft w:val="0"/>
                      <w:marRight w:val="0"/>
                      <w:marTop w:val="0"/>
                      <w:marBottom w:val="0"/>
                      <w:divBdr>
                        <w:top w:val="none" w:sz="0" w:space="0" w:color="auto"/>
                        <w:left w:val="none" w:sz="0" w:space="0" w:color="auto"/>
                        <w:bottom w:val="none" w:sz="0" w:space="0" w:color="auto"/>
                        <w:right w:val="none" w:sz="0" w:space="0" w:color="auto"/>
                      </w:divBdr>
                      <w:divsChild>
                        <w:div w:id="2532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50799">
      <w:bodyDiv w:val="1"/>
      <w:marLeft w:val="0"/>
      <w:marRight w:val="0"/>
      <w:marTop w:val="0"/>
      <w:marBottom w:val="0"/>
      <w:divBdr>
        <w:top w:val="none" w:sz="0" w:space="0" w:color="auto"/>
        <w:left w:val="none" w:sz="0" w:space="0" w:color="auto"/>
        <w:bottom w:val="none" w:sz="0" w:space="0" w:color="auto"/>
        <w:right w:val="none" w:sz="0" w:space="0" w:color="auto"/>
      </w:divBdr>
      <w:divsChild>
        <w:div w:id="794298822">
          <w:marLeft w:val="0"/>
          <w:marRight w:val="0"/>
          <w:marTop w:val="0"/>
          <w:marBottom w:val="0"/>
          <w:divBdr>
            <w:top w:val="none" w:sz="0" w:space="0" w:color="auto"/>
            <w:left w:val="none" w:sz="0" w:space="0" w:color="auto"/>
            <w:bottom w:val="none" w:sz="0" w:space="0" w:color="auto"/>
            <w:right w:val="none" w:sz="0" w:space="0" w:color="auto"/>
          </w:divBdr>
          <w:divsChild>
            <w:div w:id="660013110">
              <w:marLeft w:val="0"/>
              <w:marRight w:val="0"/>
              <w:marTop w:val="0"/>
              <w:marBottom w:val="0"/>
              <w:divBdr>
                <w:top w:val="none" w:sz="0" w:space="0" w:color="auto"/>
                <w:left w:val="none" w:sz="0" w:space="0" w:color="auto"/>
                <w:bottom w:val="none" w:sz="0" w:space="0" w:color="auto"/>
                <w:right w:val="none" w:sz="0" w:space="0" w:color="auto"/>
              </w:divBdr>
              <w:divsChild>
                <w:div w:id="92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979">
      <w:bodyDiv w:val="1"/>
      <w:marLeft w:val="0"/>
      <w:marRight w:val="0"/>
      <w:marTop w:val="0"/>
      <w:marBottom w:val="0"/>
      <w:divBdr>
        <w:top w:val="none" w:sz="0" w:space="0" w:color="auto"/>
        <w:left w:val="none" w:sz="0" w:space="0" w:color="auto"/>
        <w:bottom w:val="none" w:sz="0" w:space="0" w:color="auto"/>
        <w:right w:val="none" w:sz="0" w:space="0" w:color="auto"/>
      </w:divBdr>
    </w:div>
    <w:div w:id="2130003806">
      <w:bodyDiv w:val="1"/>
      <w:marLeft w:val="0"/>
      <w:marRight w:val="0"/>
      <w:marTop w:val="0"/>
      <w:marBottom w:val="0"/>
      <w:divBdr>
        <w:top w:val="none" w:sz="0" w:space="0" w:color="auto"/>
        <w:left w:val="none" w:sz="0" w:space="0" w:color="auto"/>
        <w:bottom w:val="none" w:sz="0" w:space="0" w:color="auto"/>
        <w:right w:val="none" w:sz="0" w:space="0" w:color="auto"/>
      </w:divBdr>
      <w:divsChild>
        <w:div w:id="584001862">
          <w:marLeft w:val="0"/>
          <w:marRight w:val="0"/>
          <w:marTop w:val="0"/>
          <w:marBottom w:val="0"/>
          <w:divBdr>
            <w:top w:val="none" w:sz="0" w:space="0" w:color="auto"/>
            <w:left w:val="none" w:sz="0" w:space="0" w:color="auto"/>
            <w:bottom w:val="none" w:sz="0" w:space="0" w:color="auto"/>
            <w:right w:val="none" w:sz="0" w:space="0" w:color="auto"/>
          </w:divBdr>
          <w:divsChild>
            <w:div w:id="1050555">
              <w:marLeft w:val="0"/>
              <w:marRight w:val="0"/>
              <w:marTop w:val="0"/>
              <w:marBottom w:val="0"/>
              <w:divBdr>
                <w:top w:val="none" w:sz="0" w:space="0" w:color="auto"/>
                <w:left w:val="none" w:sz="0" w:space="0" w:color="auto"/>
                <w:bottom w:val="none" w:sz="0" w:space="0" w:color="auto"/>
                <w:right w:val="none" w:sz="0" w:space="0" w:color="auto"/>
              </w:divBdr>
              <w:divsChild>
                <w:div w:id="11457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3A47-D7D4-4072-8102-35E983D84680}">
  <ds:schemaRefs>
    <ds:schemaRef ds:uri="http://schemas.openxmlformats.org/officeDocument/2006/bibliography"/>
  </ds:schemaRefs>
</ds:datastoreItem>
</file>

<file path=customXml/itemProps2.xml><?xml version="1.0" encoding="utf-8"?>
<ds:datastoreItem xmlns:ds="http://schemas.openxmlformats.org/officeDocument/2006/customXml" ds:itemID="{479CE203-D680-45E2-B396-FA607270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s-poortenaar</dc:creator>
  <cp:lastModifiedBy>s-poortenaar</cp:lastModifiedBy>
  <cp:revision>2</cp:revision>
  <cp:lastPrinted>2012-07-05T05:53:00Z</cp:lastPrinted>
  <dcterms:created xsi:type="dcterms:W3CDTF">2012-07-11T23:56:00Z</dcterms:created>
  <dcterms:modified xsi:type="dcterms:W3CDTF">2012-07-11T23:56:00Z</dcterms:modified>
</cp:coreProperties>
</file>