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BF79C" w14:textId="0CB8FB81" w:rsidR="004E078B" w:rsidRPr="008A7C85" w:rsidRDefault="00486814" w:rsidP="00514871">
      <w:pPr>
        <w:pStyle w:val="Title"/>
        <w:tabs>
          <w:tab w:val="center" w:pos="4479"/>
        </w:tabs>
        <w:jc w:val="both"/>
        <w:rPr>
          <w:rFonts w:ascii="Arial" w:hAnsi="Arial" w:cs="Arial"/>
          <w:b/>
        </w:rPr>
      </w:pPr>
      <w:bookmarkStart w:id="0" w:name="_Toc285198540"/>
      <w:bookmarkStart w:id="1" w:name="_Toc285198993"/>
      <w:bookmarkStart w:id="2" w:name="_Toc285808465"/>
      <w:bookmarkStart w:id="3" w:name="_Toc286144947"/>
      <w:bookmarkStart w:id="4" w:name="_Toc286145007"/>
      <w:bookmarkStart w:id="5" w:name="_Toc286145394"/>
      <w:bookmarkStart w:id="6" w:name="_Toc288052358"/>
      <w:bookmarkStart w:id="7" w:name="_Toc288056520"/>
      <w:bookmarkStart w:id="8" w:name="_Toc288057620"/>
      <w:bookmarkStart w:id="9" w:name="_Toc288131252"/>
      <w:bookmarkStart w:id="10" w:name="_Toc288472135"/>
      <w:bookmarkStart w:id="11" w:name="_Toc288472299"/>
      <w:bookmarkStart w:id="12" w:name="_Toc288569300"/>
      <w:bookmarkStart w:id="13" w:name="_Toc288656954"/>
      <w:bookmarkStart w:id="14" w:name="_Toc288658645"/>
      <w:r>
        <w:rPr>
          <w:rFonts w:ascii="Arial" w:hAnsi="Arial" w:cs="Arial"/>
          <w:b/>
        </w:rPr>
        <w:t xml:space="preserve">Information </w:t>
      </w:r>
      <w:r w:rsidR="00945B7C">
        <w:rPr>
          <w:rFonts w:ascii="Arial" w:hAnsi="Arial" w:cs="Arial"/>
          <w:b/>
        </w:rPr>
        <w:t>Disclosure Policy</w:t>
      </w:r>
    </w:p>
    <w:tbl>
      <w:tblPr>
        <w:tblW w:w="8930" w:type="dxa"/>
        <w:tblInd w:w="108" w:type="dxa"/>
        <w:tblLook w:val="04A0" w:firstRow="1" w:lastRow="0" w:firstColumn="1" w:lastColumn="0" w:noHBand="0" w:noVBand="1"/>
      </w:tblPr>
      <w:tblGrid>
        <w:gridCol w:w="2835"/>
        <w:gridCol w:w="6095"/>
      </w:tblGrid>
      <w:tr w:rsidR="004E078B" w:rsidRPr="008A7C85" w14:paraId="485BF79F" w14:textId="77777777" w:rsidTr="00B5691A">
        <w:tc>
          <w:tcPr>
            <w:tcW w:w="2835" w:type="dxa"/>
            <w:shd w:val="pct5" w:color="C6D9F1" w:fill="C6D9F1"/>
            <w:vAlign w:val="center"/>
          </w:tcPr>
          <w:p w14:paraId="485BF79D" w14:textId="77777777" w:rsidR="0059124C" w:rsidRPr="008A7C85" w:rsidRDefault="00AA15B8" w:rsidP="00B5691A">
            <w:pPr>
              <w:spacing w:before="60" w:after="60"/>
              <w:rPr>
                <w:rStyle w:val="IntenseEmphasis"/>
                <w:rFonts w:ascii="Arial" w:hAnsi="Arial"/>
                <w:sz w:val="22"/>
              </w:rPr>
            </w:pPr>
            <w:r w:rsidRPr="008A7C85">
              <w:rPr>
                <w:rStyle w:val="IntenseEmphasis"/>
                <w:rFonts w:ascii="Arial" w:hAnsi="Arial"/>
                <w:sz w:val="22"/>
              </w:rPr>
              <w:t>Approved by</w:t>
            </w:r>
            <w:r w:rsidR="004E078B" w:rsidRPr="008A7C85">
              <w:rPr>
                <w:rStyle w:val="IntenseEmphasis"/>
                <w:rFonts w:ascii="Arial" w:hAnsi="Arial"/>
                <w:sz w:val="22"/>
              </w:rPr>
              <w:t xml:space="preserve"> </w:t>
            </w:r>
          </w:p>
        </w:tc>
        <w:tc>
          <w:tcPr>
            <w:tcW w:w="6095" w:type="dxa"/>
            <w:vAlign w:val="center"/>
          </w:tcPr>
          <w:p w14:paraId="485BF79E" w14:textId="73EB3840" w:rsidR="004E078B" w:rsidRPr="001B53BC" w:rsidRDefault="00C03745" w:rsidP="00C03745">
            <w:pPr>
              <w:spacing w:before="60" w:after="60"/>
              <w:rPr>
                <w:rFonts w:ascii="Arial" w:hAnsi="Arial"/>
                <w:iCs/>
                <w:sz w:val="22"/>
              </w:rPr>
            </w:pPr>
            <w:r>
              <w:rPr>
                <w:rFonts w:ascii="Arial" w:hAnsi="Arial"/>
                <w:iCs/>
                <w:sz w:val="22"/>
              </w:rPr>
              <w:t>Secretary</w:t>
            </w:r>
          </w:p>
        </w:tc>
      </w:tr>
      <w:tr w:rsidR="004E078B" w:rsidRPr="008A7C85" w14:paraId="485BF7A3" w14:textId="77777777" w:rsidTr="00B5691A">
        <w:tc>
          <w:tcPr>
            <w:tcW w:w="2835" w:type="dxa"/>
            <w:shd w:val="pct5" w:color="C6D9F1" w:fill="C6D9F1"/>
            <w:vAlign w:val="center"/>
          </w:tcPr>
          <w:p w14:paraId="485BF7A0" w14:textId="77777777" w:rsidR="004E078B" w:rsidRPr="008A7C85" w:rsidRDefault="002178C2" w:rsidP="00B5691A">
            <w:pPr>
              <w:spacing w:before="60" w:after="60"/>
              <w:rPr>
                <w:rStyle w:val="IntenseEmphasis"/>
                <w:rFonts w:ascii="Arial" w:hAnsi="Arial"/>
                <w:sz w:val="22"/>
              </w:rPr>
            </w:pPr>
            <w:r w:rsidRPr="008A7C85">
              <w:rPr>
                <w:rStyle w:val="IntenseEmphasis"/>
                <w:rFonts w:ascii="Arial" w:hAnsi="Arial"/>
                <w:sz w:val="22"/>
              </w:rPr>
              <w:t>Date approved (commencement date)</w:t>
            </w:r>
          </w:p>
        </w:tc>
        <w:tc>
          <w:tcPr>
            <w:tcW w:w="6095" w:type="dxa"/>
            <w:vAlign w:val="center"/>
          </w:tcPr>
          <w:p w14:paraId="485BF7A2" w14:textId="7135DCEA" w:rsidR="00750DF0" w:rsidRPr="001B53BC" w:rsidRDefault="00216028" w:rsidP="008B2A7B">
            <w:pPr>
              <w:spacing w:before="60" w:after="60"/>
              <w:rPr>
                <w:rFonts w:ascii="Arial" w:hAnsi="Arial"/>
                <w:iCs/>
                <w:sz w:val="22"/>
              </w:rPr>
            </w:pPr>
            <w:r>
              <w:rPr>
                <w:rFonts w:ascii="Arial" w:hAnsi="Arial"/>
                <w:iCs/>
                <w:sz w:val="22"/>
              </w:rPr>
              <w:t xml:space="preserve">20 </w:t>
            </w:r>
            <w:bookmarkStart w:id="15" w:name="_GoBack"/>
            <w:bookmarkEnd w:id="15"/>
            <w:r w:rsidR="00F8622D">
              <w:rPr>
                <w:rFonts w:ascii="Arial" w:hAnsi="Arial"/>
                <w:iCs/>
                <w:sz w:val="22"/>
              </w:rPr>
              <w:t>April</w:t>
            </w:r>
            <w:r w:rsidR="0065593A">
              <w:rPr>
                <w:rFonts w:ascii="Arial" w:hAnsi="Arial"/>
                <w:iCs/>
                <w:sz w:val="22"/>
              </w:rPr>
              <w:t xml:space="preserve"> </w:t>
            </w:r>
            <w:r w:rsidR="00355DB2" w:rsidRPr="001B53BC">
              <w:rPr>
                <w:rFonts w:ascii="Arial" w:hAnsi="Arial"/>
                <w:iCs/>
                <w:sz w:val="22"/>
              </w:rPr>
              <w:t>201</w:t>
            </w:r>
            <w:r w:rsidR="008B2A7B">
              <w:rPr>
                <w:rFonts w:ascii="Arial" w:hAnsi="Arial"/>
                <w:iCs/>
                <w:sz w:val="22"/>
              </w:rPr>
              <w:t>6</w:t>
            </w:r>
          </w:p>
        </w:tc>
      </w:tr>
      <w:tr w:rsidR="00A835F3" w:rsidRPr="008A7C85" w14:paraId="012AB045" w14:textId="77777777" w:rsidTr="00B5691A">
        <w:tc>
          <w:tcPr>
            <w:tcW w:w="2835" w:type="dxa"/>
            <w:shd w:val="pct5" w:color="C6D9F1" w:fill="C6D9F1"/>
            <w:vAlign w:val="center"/>
          </w:tcPr>
          <w:p w14:paraId="5E292C00" w14:textId="47B0786A" w:rsidR="00A835F3" w:rsidRPr="008A7C85" w:rsidRDefault="00A835F3" w:rsidP="00B5691A">
            <w:pPr>
              <w:spacing w:before="60" w:after="60"/>
              <w:rPr>
                <w:rStyle w:val="IntenseEmphasis"/>
                <w:rFonts w:ascii="Arial" w:hAnsi="Arial"/>
                <w:sz w:val="22"/>
              </w:rPr>
            </w:pPr>
            <w:r>
              <w:rPr>
                <w:rStyle w:val="IntenseEmphasis"/>
                <w:rFonts w:ascii="Arial" w:hAnsi="Arial"/>
                <w:sz w:val="22"/>
              </w:rPr>
              <w:t>Ow</w:t>
            </w:r>
            <w:r w:rsidR="007E464A">
              <w:rPr>
                <w:rStyle w:val="IntenseEmphasis"/>
                <w:rFonts w:ascii="Arial" w:hAnsi="Arial"/>
                <w:sz w:val="22"/>
              </w:rPr>
              <w:t>n</w:t>
            </w:r>
            <w:r>
              <w:rPr>
                <w:rStyle w:val="IntenseEmphasis"/>
                <w:rFonts w:ascii="Arial" w:hAnsi="Arial"/>
                <w:sz w:val="22"/>
              </w:rPr>
              <w:t>ed by</w:t>
            </w:r>
          </w:p>
        </w:tc>
        <w:tc>
          <w:tcPr>
            <w:tcW w:w="6095" w:type="dxa"/>
            <w:vAlign w:val="center"/>
          </w:tcPr>
          <w:p w14:paraId="6C89E532" w14:textId="3D585039" w:rsidR="00A835F3" w:rsidRDefault="00A835F3" w:rsidP="00B5691A">
            <w:pPr>
              <w:spacing w:before="60" w:after="60"/>
              <w:rPr>
                <w:rFonts w:ascii="Arial" w:hAnsi="Arial"/>
                <w:iCs/>
                <w:sz w:val="22"/>
              </w:rPr>
            </w:pPr>
            <w:r>
              <w:rPr>
                <w:rFonts w:ascii="Arial" w:hAnsi="Arial"/>
                <w:iCs/>
                <w:sz w:val="22"/>
              </w:rPr>
              <w:t>Director, Secretariat and Legal Services</w:t>
            </w:r>
          </w:p>
        </w:tc>
      </w:tr>
      <w:tr w:rsidR="004E078B" w:rsidRPr="008A7C85" w14:paraId="485BF7A6" w14:textId="77777777" w:rsidTr="00B5691A">
        <w:tc>
          <w:tcPr>
            <w:tcW w:w="2835" w:type="dxa"/>
            <w:shd w:val="pct5" w:color="C6D9F1" w:fill="C6D9F1"/>
            <w:vAlign w:val="center"/>
          </w:tcPr>
          <w:p w14:paraId="485BF7A4" w14:textId="77777777" w:rsidR="004E078B" w:rsidRPr="008A7C85" w:rsidRDefault="004E078B" w:rsidP="00B5691A">
            <w:pPr>
              <w:spacing w:before="60" w:after="60"/>
              <w:rPr>
                <w:rStyle w:val="IntenseEmphasis"/>
                <w:rFonts w:ascii="Arial" w:hAnsi="Arial"/>
                <w:sz w:val="22"/>
              </w:rPr>
            </w:pPr>
            <w:r w:rsidRPr="008A7C85">
              <w:rPr>
                <w:rStyle w:val="IntenseEmphasis"/>
                <w:rFonts w:ascii="Arial" w:hAnsi="Arial"/>
                <w:sz w:val="22"/>
              </w:rPr>
              <w:t>Review by</w:t>
            </w:r>
          </w:p>
        </w:tc>
        <w:tc>
          <w:tcPr>
            <w:tcW w:w="6095" w:type="dxa"/>
            <w:vAlign w:val="center"/>
          </w:tcPr>
          <w:p w14:paraId="485BF7A5" w14:textId="32B5FC36" w:rsidR="004E078B" w:rsidRPr="001B53BC" w:rsidRDefault="00F8622D" w:rsidP="00B5691A">
            <w:pPr>
              <w:spacing w:before="60" w:after="60"/>
              <w:rPr>
                <w:rFonts w:ascii="Arial" w:hAnsi="Arial"/>
                <w:iCs/>
                <w:sz w:val="22"/>
              </w:rPr>
            </w:pPr>
            <w:r>
              <w:rPr>
                <w:rFonts w:ascii="Arial" w:hAnsi="Arial"/>
                <w:iCs/>
                <w:sz w:val="22"/>
              </w:rPr>
              <w:t>24</w:t>
            </w:r>
            <w:r w:rsidR="008C667A" w:rsidRPr="001B53BC">
              <w:rPr>
                <w:rFonts w:ascii="Arial" w:hAnsi="Arial"/>
                <w:iCs/>
                <w:sz w:val="22"/>
              </w:rPr>
              <w:t xml:space="preserve"> months after commencement</w:t>
            </w:r>
          </w:p>
        </w:tc>
      </w:tr>
      <w:tr w:rsidR="00BC6982" w:rsidRPr="008A7C85" w14:paraId="485BF7A9" w14:textId="77777777" w:rsidTr="00B5691A">
        <w:tc>
          <w:tcPr>
            <w:tcW w:w="2835" w:type="dxa"/>
            <w:shd w:val="pct5" w:color="C6D9F1" w:fill="C6D9F1"/>
            <w:vAlign w:val="center"/>
          </w:tcPr>
          <w:p w14:paraId="485BF7A7" w14:textId="77777777" w:rsidR="00BC6982" w:rsidRPr="008A7C85" w:rsidRDefault="00BC6982" w:rsidP="00B5691A">
            <w:pPr>
              <w:spacing w:before="60" w:after="60"/>
              <w:rPr>
                <w:rStyle w:val="IntenseEmphasis"/>
                <w:rFonts w:ascii="Arial" w:hAnsi="Arial"/>
                <w:sz w:val="22"/>
              </w:rPr>
            </w:pPr>
            <w:r w:rsidRPr="008A7C85">
              <w:rPr>
                <w:rStyle w:val="IntenseEmphasis"/>
                <w:rFonts w:ascii="Arial" w:hAnsi="Arial"/>
                <w:sz w:val="22"/>
              </w:rPr>
              <w:t>Version</w:t>
            </w:r>
          </w:p>
        </w:tc>
        <w:tc>
          <w:tcPr>
            <w:tcW w:w="6095" w:type="dxa"/>
            <w:vAlign w:val="center"/>
          </w:tcPr>
          <w:p w14:paraId="485BF7A8" w14:textId="1C765EDC" w:rsidR="00BC6982" w:rsidRPr="001B53BC" w:rsidRDefault="00284E57" w:rsidP="00284E57">
            <w:pPr>
              <w:spacing w:before="60" w:after="60"/>
              <w:rPr>
                <w:rFonts w:ascii="Arial" w:hAnsi="Arial"/>
                <w:iCs/>
                <w:sz w:val="22"/>
              </w:rPr>
            </w:pPr>
            <w:r>
              <w:rPr>
                <w:rFonts w:ascii="Arial" w:hAnsi="Arial"/>
                <w:iCs/>
                <w:sz w:val="22"/>
              </w:rPr>
              <w:t>V1.0a</w:t>
            </w:r>
          </w:p>
        </w:tc>
      </w:tr>
      <w:tr w:rsidR="004E078B" w:rsidRPr="008A7C85" w14:paraId="485BF7AC" w14:textId="77777777" w:rsidTr="00B5691A">
        <w:tc>
          <w:tcPr>
            <w:tcW w:w="2835" w:type="dxa"/>
            <w:shd w:val="pct5" w:color="C6D9F1" w:fill="C6D9F1"/>
            <w:vAlign w:val="center"/>
          </w:tcPr>
          <w:p w14:paraId="485BF7AA" w14:textId="77777777" w:rsidR="004E078B" w:rsidRPr="008A7C85" w:rsidRDefault="004E078B" w:rsidP="00B5691A">
            <w:pPr>
              <w:spacing w:before="60" w:after="60"/>
              <w:rPr>
                <w:rStyle w:val="IntenseEmphasis"/>
                <w:rFonts w:ascii="Arial" w:hAnsi="Arial"/>
                <w:sz w:val="22"/>
              </w:rPr>
            </w:pPr>
            <w:r w:rsidRPr="008A7C85">
              <w:rPr>
                <w:rStyle w:val="IntenseEmphasis"/>
                <w:rFonts w:ascii="Arial" w:hAnsi="Arial"/>
                <w:sz w:val="22"/>
              </w:rPr>
              <w:t xml:space="preserve">TRIM reference </w:t>
            </w:r>
          </w:p>
        </w:tc>
        <w:tc>
          <w:tcPr>
            <w:tcW w:w="6095" w:type="dxa"/>
            <w:vAlign w:val="center"/>
          </w:tcPr>
          <w:p w14:paraId="485BF7AB" w14:textId="0925383D" w:rsidR="004E078B" w:rsidRPr="00355DB2" w:rsidRDefault="0065593A" w:rsidP="00B5691A">
            <w:pPr>
              <w:spacing w:before="60" w:after="60"/>
              <w:rPr>
                <w:rFonts w:ascii="Arial" w:hAnsi="Arial"/>
                <w:iCs/>
                <w:sz w:val="22"/>
                <w:highlight w:val="yellow"/>
              </w:rPr>
            </w:pPr>
            <w:r>
              <w:rPr>
                <w:rFonts w:ascii="Arial" w:hAnsi="Arial"/>
                <w:iCs/>
                <w:sz w:val="22"/>
              </w:rPr>
              <w:t>052209</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485BF7AD" w14:textId="77777777" w:rsidR="0093007D" w:rsidRPr="008A7C85" w:rsidRDefault="0093007D" w:rsidP="00514871">
      <w:pPr>
        <w:spacing w:before="0"/>
        <w:jc w:val="both"/>
        <w:rPr>
          <w:rStyle w:val="IntenseEmphasis"/>
          <w:rFonts w:ascii="Arial" w:hAnsi="Arial"/>
        </w:rPr>
      </w:pPr>
    </w:p>
    <w:p w14:paraId="485BF7AE" w14:textId="6935BC8D" w:rsidR="001153DA" w:rsidRPr="00B5691A" w:rsidRDefault="001153DA" w:rsidP="00514871">
      <w:pPr>
        <w:pStyle w:val="Heading4"/>
        <w:rPr>
          <w:rFonts w:ascii="Arial" w:hAnsi="Arial"/>
        </w:rPr>
      </w:pPr>
      <w:bookmarkStart w:id="16" w:name="_Toc288658650"/>
      <w:bookmarkStart w:id="17" w:name="_Toc304277173"/>
      <w:bookmarkStart w:id="18" w:name="_Toc304277205"/>
      <w:bookmarkStart w:id="19" w:name="_Toc304277286"/>
      <w:r w:rsidRPr="008A7C85">
        <w:rPr>
          <w:rFonts w:ascii="Arial" w:hAnsi="Arial"/>
        </w:rPr>
        <w:t>Intent</w:t>
      </w:r>
      <w:bookmarkEnd w:id="16"/>
      <w:bookmarkEnd w:id="17"/>
      <w:bookmarkEnd w:id="18"/>
      <w:bookmarkEnd w:id="19"/>
    </w:p>
    <w:p w14:paraId="07F772A2" w14:textId="7FD3807B" w:rsidR="00355DB2" w:rsidRPr="00486814" w:rsidRDefault="00B5691A" w:rsidP="00355DB2">
      <w:pPr>
        <w:pStyle w:val="MinuteParagraph"/>
        <w:spacing w:before="200" w:after="120"/>
        <w:rPr>
          <w:rFonts w:ascii="Arial" w:hAnsi="Arial" w:cs="Arial"/>
          <w:sz w:val="22"/>
          <w:szCs w:val="22"/>
        </w:rPr>
      </w:pPr>
      <w:r>
        <w:rPr>
          <w:rFonts w:ascii="Arial" w:hAnsi="Arial" w:cs="Arial"/>
          <w:sz w:val="22"/>
          <w:szCs w:val="22"/>
        </w:rPr>
        <w:t xml:space="preserve">The </w:t>
      </w:r>
      <w:r w:rsidR="00355DB2" w:rsidRPr="007320B6">
        <w:rPr>
          <w:rFonts w:ascii="Arial" w:hAnsi="Arial" w:cs="Arial"/>
          <w:sz w:val="22"/>
          <w:szCs w:val="22"/>
        </w:rPr>
        <w:t xml:space="preserve">Department </w:t>
      </w:r>
      <w:r w:rsidR="00D734C8">
        <w:rPr>
          <w:rFonts w:ascii="Arial" w:hAnsi="Arial" w:cs="Arial"/>
          <w:sz w:val="22"/>
          <w:szCs w:val="22"/>
        </w:rPr>
        <w:t>is a public authority as defined in the RTI Act</w:t>
      </w:r>
      <w:r w:rsidR="00C03745">
        <w:rPr>
          <w:rFonts w:ascii="Arial" w:hAnsi="Arial" w:cs="Arial"/>
          <w:sz w:val="22"/>
          <w:szCs w:val="22"/>
        </w:rPr>
        <w:t xml:space="preserve">.  The Department </w:t>
      </w:r>
      <w:r>
        <w:rPr>
          <w:rFonts w:ascii="Arial" w:hAnsi="Arial" w:cs="Arial"/>
          <w:sz w:val="22"/>
          <w:szCs w:val="22"/>
        </w:rPr>
        <w:t xml:space="preserve">is </w:t>
      </w:r>
      <w:r w:rsidR="00486814">
        <w:rPr>
          <w:rFonts w:ascii="Arial" w:hAnsi="Arial" w:cs="Arial"/>
          <w:sz w:val="22"/>
          <w:szCs w:val="22"/>
        </w:rPr>
        <w:t>committed to fulfilling its obligations under th</w:t>
      </w:r>
      <w:r w:rsidR="00D734C8">
        <w:rPr>
          <w:rFonts w:ascii="Arial" w:hAnsi="Arial" w:cs="Arial"/>
          <w:sz w:val="22"/>
          <w:szCs w:val="22"/>
        </w:rPr>
        <w:t>at Act, including its obligations to prepare and publish policies and procedures for the disclosure of information</w:t>
      </w:r>
      <w:r w:rsidR="00486814">
        <w:rPr>
          <w:rFonts w:ascii="Arial" w:hAnsi="Arial" w:cs="Arial"/>
          <w:sz w:val="22"/>
          <w:szCs w:val="22"/>
        </w:rPr>
        <w:t>.</w:t>
      </w:r>
    </w:p>
    <w:p w14:paraId="485BF7B1" w14:textId="73FC0300" w:rsidR="008A7C85" w:rsidRPr="008A7C85" w:rsidRDefault="008A7C85" w:rsidP="00514871">
      <w:pPr>
        <w:pStyle w:val="Heading4"/>
        <w:rPr>
          <w:rFonts w:ascii="Arial" w:hAnsi="Arial"/>
        </w:rPr>
      </w:pPr>
      <w:bookmarkStart w:id="20" w:name="_Toc288658653"/>
      <w:bookmarkStart w:id="21" w:name="_Toc304277175"/>
      <w:bookmarkStart w:id="22" w:name="_Toc304277207"/>
      <w:bookmarkStart w:id="23" w:name="_Toc304277288"/>
      <w:r w:rsidRPr="008A7C85">
        <w:rPr>
          <w:rFonts w:ascii="Arial" w:hAnsi="Arial"/>
        </w:rPr>
        <w:t>Objective</w:t>
      </w:r>
    </w:p>
    <w:p w14:paraId="0830D5CE" w14:textId="29638CCB" w:rsidR="00355DB2" w:rsidRPr="007320B6" w:rsidRDefault="00355DB2" w:rsidP="00355DB2">
      <w:pPr>
        <w:spacing w:before="200"/>
        <w:jc w:val="both"/>
        <w:rPr>
          <w:rFonts w:ascii="Arial" w:hAnsi="Arial"/>
          <w:sz w:val="22"/>
          <w:szCs w:val="22"/>
        </w:rPr>
      </w:pPr>
      <w:r w:rsidRPr="007320B6">
        <w:rPr>
          <w:rFonts w:ascii="Arial" w:hAnsi="Arial"/>
          <w:sz w:val="22"/>
          <w:szCs w:val="22"/>
        </w:rPr>
        <w:t>The o</w:t>
      </w:r>
      <w:r w:rsidR="00486814">
        <w:rPr>
          <w:rFonts w:ascii="Arial" w:hAnsi="Arial"/>
          <w:sz w:val="22"/>
          <w:szCs w:val="22"/>
        </w:rPr>
        <w:t xml:space="preserve">bjectives of this policy are to set out the </w:t>
      </w:r>
      <w:r w:rsidR="009113A3">
        <w:rPr>
          <w:rFonts w:ascii="Arial" w:hAnsi="Arial"/>
          <w:sz w:val="22"/>
          <w:szCs w:val="22"/>
        </w:rPr>
        <w:t xml:space="preserve">Department’s </w:t>
      </w:r>
      <w:r w:rsidR="00C03745">
        <w:rPr>
          <w:rFonts w:ascii="Arial" w:hAnsi="Arial"/>
          <w:sz w:val="22"/>
          <w:szCs w:val="22"/>
        </w:rPr>
        <w:t>policies</w:t>
      </w:r>
      <w:r w:rsidR="00486814">
        <w:rPr>
          <w:rFonts w:ascii="Arial" w:hAnsi="Arial"/>
          <w:sz w:val="22"/>
          <w:szCs w:val="22"/>
        </w:rPr>
        <w:t xml:space="preserve"> </w:t>
      </w:r>
      <w:r w:rsidR="009113A3">
        <w:rPr>
          <w:rFonts w:ascii="Arial" w:hAnsi="Arial"/>
          <w:sz w:val="22"/>
          <w:szCs w:val="22"/>
        </w:rPr>
        <w:t xml:space="preserve">for </w:t>
      </w:r>
      <w:r w:rsidR="00C03745">
        <w:rPr>
          <w:rFonts w:ascii="Arial" w:hAnsi="Arial"/>
          <w:sz w:val="22"/>
          <w:szCs w:val="22"/>
        </w:rPr>
        <w:t xml:space="preserve">disclosing </w:t>
      </w:r>
      <w:r w:rsidR="009113A3">
        <w:rPr>
          <w:rFonts w:ascii="Arial" w:hAnsi="Arial"/>
          <w:sz w:val="22"/>
          <w:szCs w:val="22"/>
        </w:rPr>
        <w:t>information</w:t>
      </w:r>
      <w:r w:rsidR="00D734C8">
        <w:rPr>
          <w:rFonts w:ascii="Arial" w:hAnsi="Arial"/>
          <w:sz w:val="22"/>
          <w:szCs w:val="22"/>
        </w:rPr>
        <w:t xml:space="preserve"> in accordance with the RTI Act, with particular reference to the various types of disclosure defined in that Act, and the objective of that Act to make information held by public authorities and Ministers as readily available as reasonably possible</w:t>
      </w:r>
      <w:r w:rsidR="009113A3">
        <w:rPr>
          <w:rFonts w:ascii="Arial" w:hAnsi="Arial"/>
          <w:sz w:val="22"/>
          <w:szCs w:val="22"/>
        </w:rPr>
        <w:t>.</w:t>
      </w:r>
    </w:p>
    <w:p w14:paraId="485BF7B3" w14:textId="353FA18A" w:rsidR="001153DA" w:rsidRPr="008A7C85" w:rsidRDefault="001153DA" w:rsidP="00514871">
      <w:pPr>
        <w:pStyle w:val="Heading4"/>
        <w:rPr>
          <w:rFonts w:ascii="Arial" w:hAnsi="Arial"/>
        </w:rPr>
      </w:pPr>
      <w:r w:rsidRPr="008A7C85">
        <w:rPr>
          <w:rFonts w:ascii="Arial" w:hAnsi="Arial"/>
        </w:rPr>
        <w:t>Scope</w:t>
      </w:r>
      <w:bookmarkEnd w:id="20"/>
      <w:bookmarkEnd w:id="21"/>
      <w:bookmarkEnd w:id="22"/>
      <w:bookmarkEnd w:id="23"/>
    </w:p>
    <w:p w14:paraId="222DA1D7" w14:textId="1600D279" w:rsidR="00355DB2" w:rsidRDefault="009113A3" w:rsidP="00355DB2">
      <w:pPr>
        <w:spacing w:before="200"/>
        <w:rPr>
          <w:rFonts w:ascii="Arial" w:hAnsi="Arial"/>
          <w:sz w:val="22"/>
          <w:szCs w:val="22"/>
        </w:rPr>
      </w:pPr>
      <w:bookmarkStart w:id="24" w:name="_Toc288658654"/>
      <w:bookmarkStart w:id="25" w:name="_Toc304277176"/>
      <w:bookmarkStart w:id="26" w:name="_Toc304277208"/>
      <w:bookmarkStart w:id="27" w:name="_Toc304277289"/>
      <w:r>
        <w:rPr>
          <w:rFonts w:ascii="Arial" w:hAnsi="Arial"/>
          <w:sz w:val="22"/>
          <w:szCs w:val="22"/>
        </w:rPr>
        <w:t>This policy applies to all Departmental officers</w:t>
      </w:r>
      <w:r w:rsidR="00486814">
        <w:rPr>
          <w:rFonts w:ascii="Arial" w:hAnsi="Arial"/>
          <w:sz w:val="22"/>
          <w:szCs w:val="22"/>
        </w:rPr>
        <w:t>.</w:t>
      </w:r>
    </w:p>
    <w:p w14:paraId="53F921ED" w14:textId="112C0A05" w:rsidR="00486814" w:rsidRDefault="009113A3" w:rsidP="00355DB2">
      <w:pPr>
        <w:spacing w:before="200"/>
        <w:rPr>
          <w:rFonts w:ascii="Arial" w:hAnsi="Arial"/>
          <w:sz w:val="22"/>
          <w:szCs w:val="22"/>
        </w:rPr>
      </w:pPr>
      <w:r>
        <w:rPr>
          <w:rFonts w:ascii="Arial" w:hAnsi="Arial"/>
          <w:sz w:val="22"/>
          <w:szCs w:val="22"/>
        </w:rPr>
        <w:t>This policy covers the four types of information disclosure defined in s12(2) of the RTI Act:</w:t>
      </w:r>
    </w:p>
    <w:p w14:paraId="4598B40D" w14:textId="108DB2C4" w:rsidR="009113A3" w:rsidRDefault="009113A3" w:rsidP="00DF4F05">
      <w:pPr>
        <w:pStyle w:val="ListParagraph"/>
        <w:numPr>
          <w:ilvl w:val="0"/>
          <w:numId w:val="5"/>
        </w:numPr>
        <w:spacing w:before="200"/>
        <w:rPr>
          <w:rFonts w:ascii="Arial" w:hAnsi="Arial"/>
          <w:sz w:val="22"/>
          <w:szCs w:val="22"/>
        </w:rPr>
      </w:pPr>
      <w:r>
        <w:rPr>
          <w:rFonts w:ascii="Arial" w:hAnsi="Arial"/>
          <w:sz w:val="22"/>
          <w:szCs w:val="22"/>
        </w:rPr>
        <w:t>required;</w:t>
      </w:r>
    </w:p>
    <w:p w14:paraId="2307719D" w14:textId="280A48AB" w:rsidR="009113A3" w:rsidRDefault="009113A3" w:rsidP="00DF4F05">
      <w:pPr>
        <w:pStyle w:val="ListParagraph"/>
        <w:numPr>
          <w:ilvl w:val="0"/>
          <w:numId w:val="5"/>
        </w:numPr>
        <w:spacing w:before="200"/>
        <w:rPr>
          <w:rFonts w:ascii="Arial" w:hAnsi="Arial"/>
          <w:sz w:val="22"/>
          <w:szCs w:val="22"/>
        </w:rPr>
      </w:pPr>
      <w:r>
        <w:rPr>
          <w:rFonts w:ascii="Arial" w:hAnsi="Arial"/>
          <w:sz w:val="22"/>
          <w:szCs w:val="22"/>
        </w:rPr>
        <w:t>routine;</w:t>
      </w:r>
    </w:p>
    <w:p w14:paraId="6F9E5405" w14:textId="67E72AE4" w:rsidR="009113A3" w:rsidRDefault="009113A3" w:rsidP="00DF4F05">
      <w:pPr>
        <w:pStyle w:val="ListParagraph"/>
        <w:numPr>
          <w:ilvl w:val="0"/>
          <w:numId w:val="5"/>
        </w:numPr>
        <w:spacing w:before="200"/>
        <w:rPr>
          <w:rFonts w:ascii="Arial" w:hAnsi="Arial"/>
          <w:sz w:val="22"/>
          <w:szCs w:val="22"/>
        </w:rPr>
      </w:pPr>
      <w:r>
        <w:rPr>
          <w:rFonts w:ascii="Arial" w:hAnsi="Arial"/>
          <w:sz w:val="22"/>
          <w:szCs w:val="22"/>
        </w:rPr>
        <w:t>active; and</w:t>
      </w:r>
    </w:p>
    <w:p w14:paraId="2D927D8C" w14:textId="089BA535" w:rsidR="009113A3" w:rsidRPr="009113A3" w:rsidRDefault="009113A3" w:rsidP="00DF4F05">
      <w:pPr>
        <w:pStyle w:val="ListParagraph"/>
        <w:numPr>
          <w:ilvl w:val="0"/>
          <w:numId w:val="5"/>
        </w:numPr>
        <w:spacing w:before="200"/>
        <w:rPr>
          <w:rFonts w:ascii="Arial" w:hAnsi="Arial"/>
          <w:sz w:val="22"/>
          <w:szCs w:val="22"/>
        </w:rPr>
      </w:pPr>
      <w:r>
        <w:rPr>
          <w:rFonts w:ascii="Arial" w:hAnsi="Arial"/>
          <w:sz w:val="22"/>
          <w:szCs w:val="22"/>
        </w:rPr>
        <w:t>assessed.</w:t>
      </w:r>
    </w:p>
    <w:p w14:paraId="485BF7B6" w14:textId="23ABFB07" w:rsidR="001153DA" w:rsidRPr="008A7C85" w:rsidRDefault="001153DA" w:rsidP="00514871">
      <w:pPr>
        <w:pStyle w:val="Heading4"/>
        <w:rPr>
          <w:rFonts w:ascii="Arial" w:hAnsi="Arial"/>
        </w:rPr>
      </w:pPr>
      <w:r w:rsidRPr="008A7C85">
        <w:rPr>
          <w:rFonts w:ascii="Arial" w:hAnsi="Arial"/>
        </w:rPr>
        <w:t>Definitions</w:t>
      </w:r>
      <w:bookmarkEnd w:id="24"/>
      <w:bookmarkEnd w:id="25"/>
      <w:bookmarkEnd w:id="26"/>
      <w:bookmarkEnd w:id="27"/>
    </w:p>
    <w:p w14:paraId="485BF7B7" w14:textId="561D8937" w:rsidR="001153DA" w:rsidRPr="008A7C85" w:rsidRDefault="001153DA" w:rsidP="00514871">
      <w:pPr>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306"/>
      </w:tblGrid>
      <w:tr w:rsidR="009113A3" w:rsidRPr="00F2365B" w14:paraId="5B64CECB" w14:textId="77777777" w:rsidTr="00E75E1B">
        <w:tc>
          <w:tcPr>
            <w:tcW w:w="2802" w:type="dxa"/>
            <w:shd w:val="clear" w:color="auto" w:fill="F2F2F2" w:themeFill="background1" w:themeFillShade="F2"/>
          </w:tcPr>
          <w:p w14:paraId="21FC3DB7" w14:textId="62FB09F0" w:rsidR="009113A3" w:rsidRPr="00F2365B" w:rsidRDefault="009113A3" w:rsidP="00D734C8">
            <w:pPr>
              <w:spacing w:before="60" w:after="60"/>
              <w:jc w:val="both"/>
              <w:rPr>
                <w:rFonts w:ascii="Arial" w:hAnsi="Arial"/>
                <w:sz w:val="22"/>
                <w:szCs w:val="22"/>
              </w:rPr>
            </w:pPr>
            <w:r>
              <w:rPr>
                <w:rFonts w:ascii="Arial" w:hAnsi="Arial"/>
                <w:sz w:val="22"/>
                <w:szCs w:val="22"/>
              </w:rPr>
              <w:t>active disclosure</w:t>
            </w:r>
          </w:p>
        </w:tc>
        <w:tc>
          <w:tcPr>
            <w:tcW w:w="6306" w:type="dxa"/>
          </w:tcPr>
          <w:p w14:paraId="64D85C96" w14:textId="1E8FC220" w:rsidR="009113A3" w:rsidRPr="00F2365B" w:rsidRDefault="009113A3" w:rsidP="00C03745">
            <w:pPr>
              <w:spacing w:before="60" w:after="60"/>
              <w:jc w:val="both"/>
              <w:rPr>
                <w:rFonts w:ascii="Arial" w:hAnsi="Arial"/>
                <w:sz w:val="22"/>
                <w:szCs w:val="22"/>
              </w:rPr>
            </w:pPr>
            <w:r>
              <w:rPr>
                <w:rFonts w:ascii="Arial" w:hAnsi="Arial"/>
                <w:sz w:val="22"/>
                <w:szCs w:val="22"/>
              </w:rPr>
              <w:t xml:space="preserve">the </w:t>
            </w:r>
            <w:r w:rsidR="00C03745">
              <w:rPr>
                <w:rFonts w:ascii="Arial" w:hAnsi="Arial"/>
                <w:sz w:val="22"/>
                <w:szCs w:val="22"/>
              </w:rPr>
              <w:t>disclosure</w:t>
            </w:r>
            <w:r>
              <w:rPr>
                <w:rFonts w:ascii="Arial" w:hAnsi="Arial"/>
                <w:sz w:val="22"/>
                <w:szCs w:val="22"/>
              </w:rPr>
              <w:t xml:space="preserve"> of information </w:t>
            </w:r>
            <w:r w:rsidR="00C03745">
              <w:rPr>
                <w:rFonts w:ascii="Arial" w:hAnsi="Arial"/>
                <w:sz w:val="22"/>
                <w:szCs w:val="22"/>
              </w:rPr>
              <w:t>in response to</w:t>
            </w:r>
            <w:r>
              <w:rPr>
                <w:rFonts w:ascii="Arial" w:hAnsi="Arial"/>
                <w:sz w:val="22"/>
                <w:szCs w:val="22"/>
              </w:rPr>
              <w:t xml:space="preserve"> a </w:t>
            </w:r>
            <w:r w:rsidR="00C03745">
              <w:rPr>
                <w:rFonts w:ascii="Arial" w:hAnsi="Arial"/>
                <w:sz w:val="22"/>
                <w:szCs w:val="22"/>
              </w:rPr>
              <w:t xml:space="preserve">direct </w:t>
            </w:r>
            <w:r>
              <w:rPr>
                <w:rFonts w:ascii="Arial" w:hAnsi="Arial"/>
                <w:sz w:val="22"/>
                <w:szCs w:val="22"/>
              </w:rPr>
              <w:t>request</w:t>
            </w:r>
          </w:p>
        </w:tc>
      </w:tr>
      <w:tr w:rsidR="009113A3" w:rsidRPr="00F2365B" w14:paraId="3447F0B8" w14:textId="77777777" w:rsidTr="00E75E1B">
        <w:tc>
          <w:tcPr>
            <w:tcW w:w="2802" w:type="dxa"/>
            <w:shd w:val="clear" w:color="auto" w:fill="F2F2F2" w:themeFill="background1" w:themeFillShade="F2"/>
          </w:tcPr>
          <w:p w14:paraId="0593129C" w14:textId="717F8AEC" w:rsidR="009113A3" w:rsidRPr="00F2365B" w:rsidRDefault="009113A3" w:rsidP="00D734C8">
            <w:pPr>
              <w:spacing w:before="60" w:after="60"/>
              <w:jc w:val="both"/>
              <w:rPr>
                <w:rFonts w:ascii="Arial" w:hAnsi="Arial"/>
                <w:sz w:val="22"/>
                <w:szCs w:val="22"/>
              </w:rPr>
            </w:pPr>
            <w:r>
              <w:rPr>
                <w:rFonts w:ascii="Arial" w:hAnsi="Arial"/>
                <w:sz w:val="22"/>
                <w:szCs w:val="22"/>
              </w:rPr>
              <w:t>assessed disclosure</w:t>
            </w:r>
          </w:p>
        </w:tc>
        <w:tc>
          <w:tcPr>
            <w:tcW w:w="6306" w:type="dxa"/>
          </w:tcPr>
          <w:p w14:paraId="763D99F3" w14:textId="5F07C1A3" w:rsidR="009113A3" w:rsidRPr="00F2365B" w:rsidRDefault="009113A3" w:rsidP="00C03745">
            <w:pPr>
              <w:spacing w:before="60" w:after="60"/>
              <w:jc w:val="both"/>
              <w:rPr>
                <w:rFonts w:ascii="Arial" w:hAnsi="Arial"/>
                <w:sz w:val="22"/>
                <w:szCs w:val="22"/>
              </w:rPr>
            </w:pPr>
            <w:r>
              <w:rPr>
                <w:rFonts w:ascii="Arial" w:hAnsi="Arial"/>
                <w:sz w:val="22"/>
                <w:szCs w:val="22"/>
              </w:rPr>
              <w:t xml:space="preserve">the </w:t>
            </w:r>
            <w:r w:rsidR="00C03745">
              <w:rPr>
                <w:rFonts w:ascii="Arial" w:hAnsi="Arial"/>
                <w:sz w:val="22"/>
                <w:szCs w:val="22"/>
              </w:rPr>
              <w:t>disclosure</w:t>
            </w:r>
            <w:r>
              <w:rPr>
                <w:rFonts w:ascii="Arial" w:hAnsi="Arial"/>
                <w:sz w:val="22"/>
                <w:szCs w:val="22"/>
              </w:rPr>
              <w:t xml:space="preserve"> of information </w:t>
            </w:r>
            <w:r w:rsidR="00D734C8" w:rsidRPr="00F2365B">
              <w:rPr>
                <w:rFonts w:ascii="Arial" w:hAnsi="Arial"/>
                <w:sz w:val="22"/>
                <w:szCs w:val="22"/>
              </w:rPr>
              <w:t xml:space="preserve">following a decision by the Principal Officer or </w:t>
            </w:r>
            <w:r w:rsidR="00D734C8">
              <w:rPr>
                <w:rFonts w:ascii="Arial" w:hAnsi="Arial"/>
                <w:sz w:val="22"/>
                <w:szCs w:val="22"/>
              </w:rPr>
              <w:t>delegated officer</w:t>
            </w:r>
            <w:r w:rsidR="00D734C8" w:rsidRPr="00F2365B">
              <w:rPr>
                <w:rFonts w:ascii="Arial" w:hAnsi="Arial"/>
                <w:sz w:val="22"/>
                <w:szCs w:val="22"/>
              </w:rPr>
              <w:t xml:space="preserve"> in accordance with the RTI Act</w:t>
            </w:r>
            <w:r w:rsidR="00D734C8">
              <w:rPr>
                <w:rFonts w:ascii="Arial" w:hAnsi="Arial"/>
                <w:sz w:val="22"/>
                <w:szCs w:val="22"/>
              </w:rPr>
              <w:t xml:space="preserve">, in response to an application made in accordance with s13 of </w:t>
            </w:r>
            <w:r w:rsidR="00A06633">
              <w:rPr>
                <w:rFonts w:ascii="Arial" w:hAnsi="Arial"/>
                <w:sz w:val="22"/>
                <w:szCs w:val="22"/>
              </w:rPr>
              <w:t>that Act</w:t>
            </w:r>
          </w:p>
        </w:tc>
      </w:tr>
      <w:tr w:rsidR="009113A3" w:rsidRPr="00F2365B" w14:paraId="038311DD" w14:textId="77777777" w:rsidTr="00E75E1B">
        <w:tc>
          <w:tcPr>
            <w:tcW w:w="2802" w:type="dxa"/>
            <w:shd w:val="clear" w:color="auto" w:fill="F2F2F2" w:themeFill="background1" w:themeFillShade="F2"/>
          </w:tcPr>
          <w:p w14:paraId="47C96DBE" w14:textId="7F15F622" w:rsidR="009113A3" w:rsidRPr="00F2365B" w:rsidRDefault="009113A3" w:rsidP="00D734C8">
            <w:pPr>
              <w:spacing w:before="60" w:after="60"/>
              <w:jc w:val="both"/>
              <w:rPr>
                <w:rFonts w:ascii="Arial" w:hAnsi="Arial"/>
                <w:sz w:val="22"/>
                <w:szCs w:val="22"/>
              </w:rPr>
            </w:pPr>
            <w:r>
              <w:rPr>
                <w:rFonts w:ascii="Arial" w:hAnsi="Arial"/>
                <w:sz w:val="22"/>
                <w:szCs w:val="22"/>
              </w:rPr>
              <w:t>delegated officer</w:t>
            </w:r>
          </w:p>
        </w:tc>
        <w:tc>
          <w:tcPr>
            <w:tcW w:w="6306" w:type="dxa"/>
          </w:tcPr>
          <w:p w14:paraId="1583FCB9" w14:textId="3A6B1326" w:rsidR="009113A3" w:rsidRPr="00F2365B" w:rsidRDefault="009113A3" w:rsidP="00D734C8">
            <w:pPr>
              <w:spacing w:before="60" w:after="60"/>
              <w:jc w:val="both"/>
              <w:rPr>
                <w:rFonts w:ascii="Arial" w:hAnsi="Arial"/>
                <w:sz w:val="22"/>
                <w:szCs w:val="22"/>
              </w:rPr>
            </w:pPr>
            <w:r>
              <w:rPr>
                <w:rFonts w:ascii="Arial" w:hAnsi="Arial"/>
                <w:sz w:val="22"/>
                <w:szCs w:val="22"/>
              </w:rPr>
              <w:t>Departmental officers delegated under s24 of the RTI Act to make decisions as required by that Act</w:t>
            </w:r>
          </w:p>
        </w:tc>
      </w:tr>
      <w:tr w:rsidR="00486814" w:rsidRPr="00F2365B" w14:paraId="612C7FCA" w14:textId="77777777" w:rsidTr="00E75E1B">
        <w:tc>
          <w:tcPr>
            <w:tcW w:w="2802" w:type="dxa"/>
            <w:shd w:val="clear" w:color="auto" w:fill="F2F2F2" w:themeFill="background1" w:themeFillShade="F2"/>
          </w:tcPr>
          <w:p w14:paraId="3AEF85E8" w14:textId="77777777" w:rsidR="00486814" w:rsidRPr="00F2365B" w:rsidRDefault="00486814" w:rsidP="00D734C8">
            <w:pPr>
              <w:spacing w:before="60" w:after="60"/>
              <w:jc w:val="both"/>
              <w:rPr>
                <w:rFonts w:ascii="Arial" w:hAnsi="Arial"/>
                <w:sz w:val="22"/>
                <w:szCs w:val="22"/>
              </w:rPr>
            </w:pPr>
            <w:r w:rsidRPr="00F2365B">
              <w:rPr>
                <w:rFonts w:ascii="Arial" w:hAnsi="Arial"/>
                <w:sz w:val="22"/>
                <w:szCs w:val="22"/>
              </w:rPr>
              <w:t>Department</w:t>
            </w:r>
          </w:p>
        </w:tc>
        <w:tc>
          <w:tcPr>
            <w:tcW w:w="6306" w:type="dxa"/>
          </w:tcPr>
          <w:p w14:paraId="11F0E276" w14:textId="77777777" w:rsidR="00486814" w:rsidRPr="00F2365B" w:rsidRDefault="00486814" w:rsidP="00D734C8">
            <w:pPr>
              <w:spacing w:before="60" w:after="60"/>
              <w:jc w:val="both"/>
              <w:rPr>
                <w:rFonts w:ascii="Arial" w:hAnsi="Arial"/>
                <w:sz w:val="22"/>
                <w:szCs w:val="22"/>
              </w:rPr>
            </w:pPr>
            <w:r w:rsidRPr="00F2365B">
              <w:rPr>
                <w:rFonts w:ascii="Arial" w:hAnsi="Arial"/>
                <w:sz w:val="22"/>
                <w:szCs w:val="22"/>
              </w:rPr>
              <w:t>Department of State Growth</w:t>
            </w:r>
          </w:p>
        </w:tc>
      </w:tr>
      <w:tr w:rsidR="00433A4E" w:rsidRPr="00F2365B" w14:paraId="41D5EA0E" w14:textId="77777777" w:rsidTr="004A521F">
        <w:tc>
          <w:tcPr>
            <w:tcW w:w="2802" w:type="dxa"/>
            <w:shd w:val="clear" w:color="auto" w:fill="F2F2F2" w:themeFill="background1" w:themeFillShade="F2"/>
          </w:tcPr>
          <w:p w14:paraId="39536342" w14:textId="4680F60C" w:rsidR="00433A4E" w:rsidRPr="00F2365B" w:rsidRDefault="00433A4E" w:rsidP="00D734C8">
            <w:pPr>
              <w:spacing w:before="60" w:after="60"/>
              <w:jc w:val="both"/>
              <w:rPr>
                <w:rFonts w:ascii="Arial" w:hAnsi="Arial"/>
                <w:sz w:val="22"/>
                <w:szCs w:val="22"/>
              </w:rPr>
            </w:pPr>
            <w:r>
              <w:rPr>
                <w:rFonts w:ascii="Arial" w:hAnsi="Arial"/>
                <w:sz w:val="22"/>
                <w:szCs w:val="22"/>
              </w:rPr>
              <w:lastRenderedPageBreak/>
              <w:t>Disclosure Log</w:t>
            </w:r>
          </w:p>
        </w:tc>
        <w:tc>
          <w:tcPr>
            <w:tcW w:w="6306" w:type="dxa"/>
          </w:tcPr>
          <w:p w14:paraId="4F13B364" w14:textId="745AAB30" w:rsidR="00433A4E" w:rsidRDefault="00433A4E" w:rsidP="00D734C8">
            <w:pPr>
              <w:spacing w:before="60" w:after="60"/>
              <w:jc w:val="both"/>
              <w:rPr>
                <w:rFonts w:ascii="Arial" w:hAnsi="Arial"/>
                <w:sz w:val="22"/>
                <w:szCs w:val="22"/>
              </w:rPr>
            </w:pPr>
            <w:r>
              <w:rPr>
                <w:rFonts w:ascii="Arial" w:hAnsi="Arial"/>
                <w:sz w:val="22"/>
                <w:szCs w:val="22"/>
              </w:rPr>
              <w:t>table on the Department’s website listing published information – category of applicant; summary of request; link to pdf of information</w:t>
            </w:r>
          </w:p>
        </w:tc>
      </w:tr>
      <w:tr w:rsidR="009113A3" w:rsidRPr="00F2365B" w14:paraId="593E2630" w14:textId="77777777" w:rsidTr="004A521F">
        <w:tc>
          <w:tcPr>
            <w:tcW w:w="2802" w:type="dxa"/>
            <w:shd w:val="clear" w:color="auto" w:fill="F2F2F2" w:themeFill="background1" w:themeFillShade="F2"/>
          </w:tcPr>
          <w:p w14:paraId="1633A5C2" w14:textId="305B4993" w:rsidR="009113A3" w:rsidRPr="00F2365B" w:rsidRDefault="009113A3" w:rsidP="00D734C8">
            <w:pPr>
              <w:spacing w:before="60" w:after="60"/>
              <w:jc w:val="both"/>
              <w:rPr>
                <w:rFonts w:ascii="Arial" w:hAnsi="Arial"/>
                <w:sz w:val="22"/>
                <w:szCs w:val="22"/>
              </w:rPr>
            </w:pPr>
            <w:r>
              <w:rPr>
                <w:rFonts w:ascii="Arial" w:hAnsi="Arial"/>
                <w:sz w:val="22"/>
                <w:szCs w:val="22"/>
              </w:rPr>
              <w:t>exempt information</w:t>
            </w:r>
          </w:p>
        </w:tc>
        <w:tc>
          <w:tcPr>
            <w:tcW w:w="6306" w:type="dxa"/>
          </w:tcPr>
          <w:p w14:paraId="566AC616" w14:textId="519937DE" w:rsidR="009113A3" w:rsidRDefault="009113A3" w:rsidP="00D734C8">
            <w:pPr>
              <w:spacing w:before="60" w:after="60"/>
              <w:jc w:val="both"/>
              <w:rPr>
                <w:rFonts w:ascii="Arial" w:hAnsi="Arial"/>
                <w:sz w:val="22"/>
                <w:szCs w:val="22"/>
              </w:rPr>
            </w:pPr>
            <w:r>
              <w:rPr>
                <w:rFonts w:ascii="Arial" w:hAnsi="Arial"/>
                <w:sz w:val="22"/>
                <w:szCs w:val="22"/>
              </w:rPr>
              <w:t>information exempt from release in accordance with Part 3 of the RTI Act</w:t>
            </w:r>
          </w:p>
        </w:tc>
      </w:tr>
      <w:tr w:rsidR="00A06633" w:rsidRPr="00F2365B" w14:paraId="30A89977" w14:textId="77777777" w:rsidTr="00433A4E">
        <w:trPr>
          <w:cantSplit/>
        </w:trPr>
        <w:tc>
          <w:tcPr>
            <w:tcW w:w="2802" w:type="dxa"/>
            <w:shd w:val="clear" w:color="auto" w:fill="F2F2F2" w:themeFill="background1" w:themeFillShade="F2"/>
          </w:tcPr>
          <w:p w14:paraId="0265629D" w14:textId="54258309" w:rsidR="00A06633" w:rsidRPr="00F2365B" w:rsidRDefault="00A06633" w:rsidP="00D734C8">
            <w:pPr>
              <w:spacing w:before="60" w:after="60"/>
              <w:jc w:val="both"/>
              <w:rPr>
                <w:rFonts w:ascii="Arial" w:hAnsi="Arial"/>
                <w:sz w:val="22"/>
                <w:szCs w:val="22"/>
              </w:rPr>
            </w:pPr>
            <w:r>
              <w:rPr>
                <w:rFonts w:ascii="Arial" w:hAnsi="Arial"/>
                <w:sz w:val="22"/>
                <w:szCs w:val="22"/>
              </w:rPr>
              <w:t>information</w:t>
            </w:r>
          </w:p>
        </w:tc>
        <w:tc>
          <w:tcPr>
            <w:tcW w:w="6306" w:type="dxa"/>
          </w:tcPr>
          <w:p w14:paraId="0684D33E" w14:textId="2C0E177F" w:rsidR="00A06633" w:rsidRDefault="00A06633" w:rsidP="00D734C8">
            <w:pPr>
              <w:spacing w:before="60" w:after="60"/>
              <w:jc w:val="both"/>
              <w:rPr>
                <w:rFonts w:ascii="Arial" w:hAnsi="Arial"/>
                <w:sz w:val="22"/>
                <w:szCs w:val="22"/>
              </w:rPr>
            </w:pPr>
            <w:r>
              <w:rPr>
                <w:rFonts w:ascii="Arial" w:hAnsi="Arial"/>
                <w:sz w:val="22"/>
                <w:szCs w:val="22"/>
              </w:rPr>
              <w:t>information in the Department’s possession that relates to the official business of the Department but excluding information held for the sole purpose of collation or forwarding to a body other than another public authority</w:t>
            </w:r>
          </w:p>
        </w:tc>
      </w:tr>
      <w:tr w:rsidR="00F2365B" w:rsidRPr="00F2365B" w14:paraId="7A5C98C1" w14:textId="77777777" w:rsidTr="00433A4E">
        <w:trPr>
          <w:cantSplit/>
        </w:trPr>
        <w:tc>
          <w:tcPr>
            <w:tcW w:w="2802" w:type="dxa"/>
            <w:shd w:val="clear" w:color="auto" w:fill="F2F2F2" w:themeFill="background1" w:themeFillShade="F2"/>
          </w:tcPr>
          <w:p w14:paraId="6A79F5A4" w14:textId="77777777" w:rsidR="00F2365B" w:rsidRPr="00F2365B" w:rsidRDefault="00F2365B" w:rsidP="00D734C8">
            <w:pPr>
              <w:spacing w:before="60" w:after="60"/>
              <w:jc w:val="both"/>
              <w:rPr>
                <w:rFonts w:ascii="Arial" w:hAnsi="Arial"/>
                <w:sz w:val="22"/>
                <w:szCs w:val="22"/>
              </w:rPr>
            </w:pPr>
            <w:bookmarkStart w:id="28" w:name="_Toc304277209"/>
            <w:bookmarkStart w:id="29" w:name="_Toc304277290"/>
            <w:bookmarkStart w:id="30" w:name="_Toc330901233"/>
            <w:r w:rsidRPr="00F2365B">
              <w:rPr>
                <w:rFonts w:ascii="Arial" w:hAnsi="Arial"/>
                <w:sz w:val="22"/>
                <w:szCs w:val="22"/>
              </w:rPr>
              <w:t>personal information</w:t>
            </w:r>
          </w:p>
        </w:tc>
        <w:tc>
          <w:tcPr>
            <w:tcW w:w="6306" w:type="dxa"/>
          </w:tcPr>
          <w:p w14:paraId="63D19561" w14:textId="55BFDE5E" w:rsidR="00F2365B" w:rsidRPr="00F2365B" w:rsidRDefault="00D734C8" w:rsidP="00D734C8">
            <w:pPr>
              <w:spacing w:before="60" w:after="60"/>
              <w:jc w:val="both"/>
              <w:rPr>
                <w:rFonts w:ascii="Arial" w:hAnsi="Arial"/>
                <w:sz w:val="22"/>
                <w:szCs w:val="22"/>
              </w:rPr>
            </w:pPr>
            <w:r>
              <w:rPr>
                <w:rFonts w:ascii="Arial" w:hAnsi="Arial"/>
                <w:sz w:val="22"/>
                <w:szCs w:val="22"/>
              </w:rPr>
              <w:t>i</w:t>
            </w:r>
            <w:r w:rsidR="00F2365B" w:rsidRPr="00F2365B">
              <w:rPr>
                <w:rFonts w:ascii="Arial" w:hAnsi="Arial"/>
                <w:sz w:val="22"/>
                <w:szCs w:val="22"/>
              </w:rPr>
              <w:t>nformation or opinion in any recorded format about an individual who is alive, or has not been dead for more than 25</w:t>
            </w:r>
            <w:r>
              <w:rPr>
                <w:rFonts w:ascii="Arial" w:hAnsi="Arial"/>
                <w:sz w:val="22"/>
                <w:szCs w:val="22"/>
              </w:rPr>
              <w:t> </w:t>
            </w:r>
            <w:r w:rsidR="00F2365B" w:rsidRPr="00F2365B">
              <w:rPr>
                <w:rFonts w:ascii="Arial" w:hAnsi="Arial"/>
                <w:sz w:val="22"/>
                <w:szCs w:val="22"/>
              </w:rPr>
              <w:t xml:space="preserve">years, whose identity is apparent or is reasonably ascertainable </w:t>
            </w:r>
            <w:r w:rsidR="00C03745">
              <w:rPr>
                <w:rFonts w:ascii="Arial" w:hAnsi="Arial"/>
                <w:sz w:val="22"/>
                <w:szCs w:val="22"/>
              </w:rPr>
              <w:t>from the information or opinion</w:t>
            </w:r>
          </w:p>
        </w:tc>
      </w:tr>
      <w:tr w:rsidR="00F2365B" w:rsidRPr="00F2365B" w14:paraId="0AEF58D5" w14:textId="77777777" w:rsidTr="00E75E1B">
        <w:tc>
          <w:tcPr>
            <w:tcW w:w="2802" w:type="dxa"/>
            <w:shd w:val="clear" w:color="auto" w:fill="F2F2F2" w:themeFill="background1" w:themeFillShade="F2"/>
          </w:tcPr>
          <w:p w14:paraId="50E860DE" w14:textId="77777777" w:rsidR="00F2365B" w:rsidRPr="00F2365B" w:rsidRDefault="00F2365B" w:rsidP="00D734C8">
            <w:pPr>
              <w:spacing w:before="60" w:after="60"/>
              <w:jc w:val="both"/>
              <w:rPr>
                <w:rFonts w:ascii="Arial" w:hAnsi="Arial"/>
                <w:sz w:val="22"/>
                <w:szCs w:val="22"/>
              </w:rPr>
            </w:pPr>
            <w:r w:rsidRPr="00F2365B">
              <w:rPr>
                <w:rFonts w:ascii="Arial" w:hAnsi="Arial"/>
                <w:sz w:val="22"/>
                <w:szCs w:val="22"/>
              </w:rPr>
              <w:t>Principal Officer</w:t>
            </w:r>
          </w:p>
        </w:tc>
        <w:tc>
          <w:tcPr>
            <w:tcW w:w="6306" w:type="dxa"/>
          </w:tcPr>
          <w:p w14:paraId="7DD90DB2" w14:textId="1B009849" w:rsidR="00F2365B" w:rsidRPr="00F2365B" w:rsidRDefault="00F8622D" w:rsidP="00F8622D">
            <w:pPr>
              <w:spacing w:before="60" w:after="60"/>
              <w:jc w:val="both"/>
              <w:rPr>
                <w:rFonts w:ascii="Arial" w:hAnsi="Arial"/>
                <w:sz w:val="22"/>
                <w:szCs w:val="22"/>
              </w:rPr>
            </w:pPr>
            <w:r>
              <w:rPr>
                <w:rFonts w:ascii="Arial" w:hAnsi="Arial"/>
                <w:sz w:val="22"/>
                <w:szCs w:val="22"/>
              </w:rPr>
              <w:t xml:space="preserve">Secretary, </w:t>
            </w:r>
            <w:r w:rsidR="00F2365B" w:rsidRPr="00F2365B">
              <w:rPr>
                <w:rFonts w:ascii="Arial" w:hAnsi="Arial"/>
                <w:sz w:val="22"/>
                <w:szCs w:val="22"/>
              </w:rPr>
              <w:t>Department</w:t>
            </w:r>
            <w:r>
              <w:rPr>
                <w:rFonts w:ascii="Arial" w:hAnsi="Arial"/>
                <w:sz w:val="22"/>
                <w:szCs w:val="22"/>
              </w:rPr>
              <w:t xml:space="preserve"> of State Growth</w:t>
            </w:r>
          </w:p>
        </w:tc>
      </w:tr>
      <w:tr w:rsidR="00A06633" w:rsidRPr="00F2365B" w14:paraId="7C11090A" w14:textId="77777777" w:rsidTr="004A521F">
        <w:tc>
          <w:tcPr>
            <w:tcW w:w="2802" w:type="dxa"/>
            <w:shd w:val="clear" w:color="auto" w:fill="F2F2F2" w:themeFill="background1" w:themeFillShade="F2"/>
          </w:tcPr>
          <w:p w14:paraId="02EC5B2C" w14:textId="23D484C0" w:rsidR="00A06633" w:rsidRPr="00F2365B" w:rsidRDefault="00A06633" w:rsidP="00D734C8">
            <w:pPr>
              <w:spacing w:before="60" w:after="60"/>
              <w:jc w:val="both"/>
              <w:rPr>
                <w:rFonts w:ascii="Arial" w:hAnsi="Arial"/>
                <w:sz w:val="22"/>
                <w:szCs w:val="22"/>
              </w:rPr>
            </w:pPr>
            <w:r>
              <w:rPr>
                <w:rFonts w:ascii="Arial" w:hAnsi="Arial"/>
                <w:sz w:val="22"/>
                <w:szCs w:val="22"/>
              </w:rPr>
              <w:t>public authority</w:t>
            </w:r>
          </w:p>
        </w:tc>
        <w:tc>
          <w:tcPr>
            <w:tcW w:w="6306" w:type="dxa"/>
          </w:tcPr>
          <w:p w14:paraId="40724D6C" w14:textId="3CC04B7D" w:rsidR="00A06633" w:rsidRPr="00A06633" w:rsidRDefault="00A06633" w:rsidP="00D734C8">
            <w:pPr>
              <w:spacing w:before="60" w:after="60"/>
              <w:jc w:val="both"/>
              <w:rPr>
                <w:rFonts w:ascii="Arial" w:hAnsi="Arial"/>
                <w:sz w:val="22"/>
                <w:szCs w:val="22"/>
              </w:rPr>
            </w:pPr>
            <w:r>
              <w:rPr>
                <w:rFonts w:ascii="Arial" w:hAnsi="Arial"/>
                <w:sz w:val="22"/>
                <w:szCs w:val="22"/>
              </w:rPr>
              <w:t>defined in s3 of the RTI Act</w:t>
            </w:r>
          </w:p>
        </w:tc>
      </w:tr>
      <w:tr w:rsidR="00610624" w:rsidRPr="00F2365B" w14:paraId="74BA702A" w14:textId="77777777" w:rsidTr="004A521F">
        <w:tc>
          <w:tcPr>
            <w:tcW w:w="2802" w:type="dxa"/>
            <w:shd w:val="clear" w:color="auto" w:fill="F2F2F2" w:themeFill="background1" w:themeFillShade="F2"/>
          </w:tcPr>
          <w:p w14:paraId="3A88479F" w14:textId="28467BC6" w:rsidR="00610624" w:rsidRDefault="00610624" w:rsidP="00D734C8">
            <w:pPr>
              <w:spacing w:before="60" w:after="60"/>
              <w:jc w:val="both"/>
              <w:rPr>
                <w:rFonts w:ascii="Arial" w:hAnsi="Arial"/>
                <w:sz w:val="22"/>
                <w:szCs w:val="22"/>
              </w:rPr>
            </w:pPr>
            <w:r>
              <w:rPr>
                <w:rFonts w:ascii="Arial" w:hAnsi="Arial"/>
                <w:sz w:val="22"/>
                <w:szCs w:val="22"/>
              </w:rPr>
              <w:t>publish</w:t>
            </w:r>
          </w:p>
        </w:tc>
        <w:tc>
          <w:tcPr>
            <w:tcW w:w="6306" w:type="dxa"/>
          </w:tcPr>
          <w:p w14:paraId="19308065" w14:textId="549333A5" w:rsidR="00610624" w:rsidRDefault="00610624" w:rsidP="00D734C8">
            <w:pPr>
              <w:spacing w:before="60" w:after="60"/>
              <w:jc w:val="both"/>
              <w:rPr>
                <w:rFonts w:ascii="Arial" w:hAnsi="Arial"/>
                <w:sz w:val="22"/>
                <w:szCs w:val="22"/>
              </w:rPr>
            </w:pPr>
            <w:r>
              <w:rPr>
                <w:rFonts w:ascii="Arial" w:hAnsi="Arial"/>
                <w:sz w:val="22"/>
                <w:szCs w:val="22"/>
              </w:rPr>
              <w:t>place information on the Department’s website, making it available for public access</w:t>
            </w:r>
          </w:p>
        </w:tc>
      </w:tr>
      <w:tr w:rsidR="00A06633" w:rsidRPr="00F2365B" w14:paraId="4945E508" w14:textId="77777777" w:rsidTr="004A521F">
        <w:tc>
          <w:tcPr>
            <w:tcW w:w="2802" w:type="dxa"/>
            <w:shd w:val="clear" w:color="auto" w:fill="F2F2F2" w:themeFill="background1" w:themeFillShade="F2"/>
          </w:tcPr>
          <w:p w14:paraId="3549F8F4" w14:textId="1C5DCD6F" w:rsidR="00A06633" w:rsidRPr="00F2365B" w:rsidRDefault="00A06633" w:rsidP="00D734C8">
            <w:pPr>
              <w:spacing w:before="60" w:after="60"/>
              <w:jc w:val="both"/>
              <w:rPr>
                <w:rFonts w:ascii="Arial" w:hAnsi="Arial"/>
                <w:sz w:val="22"/>
                <w:szCs w:val="22"/>
              </w:rPr>
            </w:pPr>
            <w:r>
              <w:rPr>
                <w:rFonts w:ascii="Arial" w:hAnsi="Arial"/>
                <w:sz w:val="22"/>
                <w:szCs w:val="22"/>
              </w:rPr>
              <w:t>required disclosure</w:t>
            </w:r>
          </w:p>
        </w:tc>
        <w:tc>
          <w:tcPr>
            <w:tcW w:w="6306" w:type="dxa"/>
          </w:tcPr>
          <w:p w14:paraId="71E069C0" w14:textId="57CEBF16" w:rsidR="00A06633" w:rsidRPr="00A06633" w:rsidRDefault="00A06633" w:rsidP="00C03745">
            <w:pPr>
              <w:spacing w:before="60" w:after="60"/>
              <w:jc w:val="both"/>
              <w:rPr>
                <w:rFonts w:ascii="Arial" w:hAnsi="Arial"/>
                <w:sz w:val="22"/>
                <w:szCs w:val="22"/>
              </w:rPr>
            </w:pPr>
            <w:r>
              <w:rPr>
                <w:rFonts w:ascii="Arial" w:hAnsi="Arial"/>
                <w:sz w:val="22"/>
                <w:szCs w:val="22"/>
              </w:rPr>
              <w:t xml:space="preserve">the </w:t>
            </w:r>
            <w:r w:rsidR="00C03745">
              <w:rPr>
                <w:rFonts w:ascii="Arial" w:hAnsi="Arial"/>
                <w:sz w:val="22"/>
                <w:szCs w:val="22"/>
              </w:rPr>
              <w:t>disclosure</w:t>
            </w:r>
            <w:r>
              <w:rPr>
                <w:rFonts w:ascii="Arial" w:hAnsi="Arial"/>
                <w:sz w:val="22"/>
                <w:szCs w:val="22"/>
              </w:rPr>
              <w:t xml:space="preserve"> of information that is required</w:t>
            </w:r>
            <w:r w:rsidR="00C03745">
              <w:rPr>
                <w:rFonts w:ascii="Arial" w:hAnsi="Arial"/>
                <w:sz w:val="22"/>
                <w:szCs w:val="22"/>
              </w:rPr>
              <w:t>,</w:t>
            </w:r>
            <w:r>
              <w:rPr>
                <w:rFonts w:ascii="Arial" w:hAnsi="Arial"/>
                <w:sz w:val="22"/>
                <w:szCs w:val="22"/>
              </w:rPr>
              <w:t xml:space="preserve"> </w:t>
            </w:r>
            <w:r w:rsidR="00C03745">
              <w:rPr>
                <w:rFonts w:ascii="Arial" w:hAnsi="Arial"/>
                <w:sz w:val="22"/>
                <w:szCs w:val="22"/>
              </w:rPr>
              <w:t xml:space="preserve">by the RTI Act or any other Act, </w:t>
            </w:r>
            <w:r>
              <w:rPr>
                <w:rFonts w:ascii="Arial" w:hAnsi="Arial"/>
                <w:sz w:val="22"/>
                <w:szCs w:val="22"/>
              </w:rPr>
              <w:t>to be published, or where disclosure is otherwise required by law or enforceable under an agreement</w:t>
            </w:r>
          </w:p>
        </w:tc>
      </w:tr>
      <w:tr w:rsidR="00A06633" w:rsidRPr="00F2365B" w14:paraId="7D6AB385" w14:textId="77777777" w:rsidTr="004A521F">
        <w:tc>
          <w:tcPr>
            <w:tcW w:w="2802" w:type="dxa"/>
            <w:shd w:val="clear" w:color="auto" w:fill="F2F2F2" w:themeFill="background1" w:themeFillShade="F2"/>
          </w:tcPr>
          <w:p w14:paraId="4FE1CE9D" w14:textId="6B32CC81" w:rsidR="00A06633" w:rsidRPr="00F2365B" w:rsidRDefault="00A06633" w:rsidP="00D734C8">
            <w:pPr>
              <w:spacing w:before="60" w:after="60"/>
              <w:jc w:val="both"/>
              <w:rPr>
                <w:rFonts w:ascii="Arial" w:hAnsi="Arial"/>
                <w:sz w:val="22"/>
                <w:szCs w:val="22"/>
              </w:rPr>
            </w:pPr>
            <w:r>
              <w:rPr>
                <w:rFonts w:ascii="Arial" w:hAnsi="Arial"/>
                <w:sz w:val="22"/>
                <w:szCs w:val="22"/>
              </w:rPr>
              <w:t>routine disclosure</w:t>
            </w:r>
          </w:p>
        </w:tc>
        <w:tc>
          <w:tcPr>
            <w:tcW w:w="6306" w:type="dxa"/>
          </w:tcPr>
          <w:p w14:paraId="24C03980" w14:textId="5918EF56" w:rsidR="00A06633" w:rsidRPr="00A06633" w:rsidRDefault="00A06633" w:rsidP="00C03745">
            <w:pPr>
              <w:spacing w:before="60" w:after="60"/>
              <w:jc w:val="both"/>
              <w:rPr>
                <w:rFonts w:ascii="Arial" w:hAnsi="Arial"/>
                <w:sz w:val="22"/>
                <w:szCs w:val="22"/>
              </w:rPr>
            </w:pPr>
            <w:r>
              <w:rPr>
                <w:rFonts w:ascii="Arial" w:hAnsi="Arial"/>
                <w:sz w:val="22"/>
                <w:szCs w:val="22"/>
              </w:rPr>
              <w:t xml:space="preserve">the </w:t>
            </w:r>
            <w:r w:rsidR="00C03745">
              <w:rPr>
                <w:rFonts w:ascii="Arial" w:hAnsi="Arial"/>
                <w:sz w:val="22"/>
                <w:szCs w:val="22"/>
              </w:rPr>
              <w:t>proactive disclosure</w:t>
            </w:r>
            <w:r>
              <w:rPr>
                <w:rFonts w:ascii="Arial" w:hAnsi="Arial"/>
                <w:sz w:val="22"/>
                <w:szCs w:val="22"/>
              </w:rPr>
              <w:t xml:space="preserve"> of information that a public authority decides may be of interest to the public</w:t>
            </w:r>
          </w:p>
        </w:tc>
      </w:tr>
      <w:tr w:rsidR="00E04169" w:rsidRPr="00F2365B" w14:paraId="51B1DC00" w14:textId="77777777" w:rsidTr="004A521F">
        <w:tc>
          <w:tcPr>
            <w:tcW w:w="2802" w:type="dxa"/>
            <w:shd w:val="clear" w:color="auto" w:fill="F2F2F2" w:themeFill="background1" w:themeFillShade="F2"/>
          </w:tcPr>
          <w:p w14:paraId="4CD8B147" w14:textId="5DBB32E8" w:rsidR="00E04169" w:rsidRPr="00F2365B" w:rsidRDefault="00486814" w:rsidP="00D734C8">
            <w:pPr>
              <w:spacing w:before="60" w:after="60"/>
              <w:jc w:val="both"/>
              <w:rPr>
                <w:rFonts w:ascii="Arial" w:hAnsi="Arial"/>
                <w:sz w:val="22"/>
                <w:szCs w:val="22"/>
              </w:rPr>
            </w:pPr>
            <w:r w:rsidRPr="00F2365B">
              <w:rPr>
                <w:rFonts w:ascii="Arial" w:hAnsi="Arial"/>
                <w:sz w:val="22"/>
                <w:szCs w:val="22"/>
              </w:rPr>
              <w:t>RTI</w:t>
            </w:r>
            <w:r w:rsidR="004A521F" w:rsidRPr="00F2365B">
              <w:rPr>
                <w:rFonts w:ascii="Arial" w:hAnsi="Arial"/>
                <w:sz w:val="22"/>
                <w:szCs w:val="22"/>
              </w:rPr>
              <w:t xml:space="preserve"> Act</w:t>
            </w:r>
          </w:p>
        </w:tc>
        <w:tc>
          <w:tcPr>
            <w:tcW w:w="6306" w:type="dxa"/>
          </w:tcPr>
          <w:p w14:paraId="3015DC51" w14:textId="272D14C3" w:rsidR="00E04169" w:rsidRPr="00F2365B" w:rsidRDefault="00486814" w:rsidP="00D734C8">
            <w:pPr>
              <w:spacing w:before="60" w:after="60"/>
              <w:jc w:val="both"/>
              <w:rPr>
                <w:rFonts w:ascii="Arial" w:hAnsi="Arial"/>
                <w:sz w:val="22"/>
                <w:szCs w:val="22"/>
              </w:rPr>
            </w:pPr>
            <w:r w:rsidRPr="00F2365B">
              <w:rPr>
                <w:rFonts w:ascii="Arial" w:hAnsi="Arial"/>
                <w:i/>
                <w:sz w:val="22"/>
                <w:szCs w:val="22"/>
              </w:rPr>
              <w:t>Right to Information Act 2009</w:t>
            </w:r>
          </w:p>
        </w:tc>
      </w:tr>
    </w:tbl>
    <w:bookmarkEnd w:id="28"/>
    <w:bookmarkEnd w:id="29"/>
    <w:bookmarkEnd w:id="30"/>
    <w:p w14:paraId="35B87A50" w14:textId="10799D7D" w:rsidR="00622CC3" w:rsidRPr="008A7C85" w:rsidRDefault="00622CC3" w:rsidP="00622CC3">
      <w:pPr>
        <w:pStyle w:val="Heading4"/>
        <w:rPr>
          <w:rFonts w:ascii="Arial" w:hAnsi="Arial"/>
        </w:rPr>
      </w:pPr>
      <w:r>
        <w:rPr>
          <w:rFonts w:ascii="Arial" w:hAnsi="Arial"/>
        </w:rPr>
        <w:t>Related legislation, policies and documents</w:t>
      </w:r>
    </w:p>
    <w:p w14:paraId="0139186C" w14:textId="77777777" w:rsidR="00622CC3" w:rsidRPr="008A7C85" w:rsidRDefault="00622CC3" w:rsidP="00622CC3">
      <w:pPr>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622CC3" w:rsidRPr="00F2365B" w14:paraId="390F9F00" w14:textId="77777777" w:rsidTr="00622CC3">
        <w:tc>
          <w:tcPr>
            <w:tcW w:w="9108" w:type="dxa"/>
            <w:shd w:val="clear" w:color="auto" w:fill="auto"/>
          </w:tcPr>
          <w:p w14:paraId="41BE354D" w14:textId="3919B252" w:rsidR="00622CC3" w:rsidRPr="00F2365B" w:rsidRDefault="00622CC3" w:rsidP="00622CC3">
            <w:pPr>
              <w:spacing w:before="60" w:after="60"/>
              <w:jc w:val="both"/>
              <w:rPr>
                <w:rFonts w:ascii="Arial" w:hAnsi="Arial"/>
                <w:sz w:val="22"/>
                <w:szCs w:val="22"/>
              </w:rPr>
            </w:pPr>
            <w:r>
              <w:rPr>
                <w:rFonts w:ascii="Arial" w:hAnsi="Arial"/>
                <w:i/>
                <w:sz w:val="22"/>
                <w:szCs w:val="22"/>
              </w:rPr>
              <w:t>Right to Information Act 2009</w:t>
            </w:r>
          </w:p>
        </w:tc>
      </w:tr>
      <w:tr w:rsidR="00622CC3" w:rsidRPr="00F2365B" w14:paraId="3E54E807" w14:textId="77777777" w:rsidTr="00622CC3">
        <w:tc>
          <w:tcPr>
            <w:tcW w:w="9108" w:type="dxa"/>
            <w:shd w:val="clear" w:color="auto" w:fill="auto"/>
          </w:tcPr>
          <w:p w14:paraId="4DC5F500" w14:textId="792D73F2" w:rsidR="00622CC3" w:rsidRPr="00622CC3" w:rsidRDefault="00622CC3" w:rsidP="00BA6B17">
            <w:pPr>
              <w:spacing w:before="60" w:after="60"/>
              <w:jc w:val="both"/>
              <w:rPr>
                <w:rFonts w:ascii="Arial" w:hAnsi="Arial"/>
                <w:i/>
                <w:sz w:val="22"/>
                <w:szCs w:val="22"/>
              </w:rPr>
            </w:pPr>
            <w:r>
              <w:rPr>
                <w:rFonts w:ascii="Arial" w:hAnsi="Arial"/>
                <w:i/>
                <w:sz w:val="22"/>
                <w:szCs w:val="22"/>
              </w:rPr>
              <w:t>Right to Information Regulations 2010</w:t>
            </w:r>
          </w:p>
        </w:tc>
      </w:tr>
      <w:tr w:rsidR="00622CC3" w:rsidRPr="00F2365B" w14:paraId="3B4874D6" w14:textId="77777777" w:rsidTr="00622CC3">
        <w:tc>
          <w:tcPr>
            <w:tcW w:w="9108" w:type="dxa"/>
            <w:shd w:val="clear" w:color="auto" w:fill="auto"/>
          </w:tcPr>
          <w:p w14:paraId="4CED00E7" w14:textId="65B70431" w:rsidR="00622CC3" w:rsidRDefault="00622CC3" w:rsidP="00BA6B17">
            <w:pPr>
              <w:spacing w:before="60" w:after="60"/>
              <w:jc w:val="both"/>
              <w:rPr>
                <w:rFonts w:ascii="Arial" w:hAnsi="Arial"/>
                <w:i/>
                <w:sz w:val="22"/>
                <w:szCs w:val="22"/>
              </w:rPr>
            </w:pPr>
            <w:r>
              <w:rPr>
                <w:rFonts w:ascii="Arial" w:hAnsi="Arial"/>
                <w:i/>
                <w:sz w:val="22"/>
                <w:szCs w:val="22"/>
              </w:rPr>
              <w:t>Personal Information Protection Act 2004</w:t>
            </w:r>
          </w:p>
        </w:tc>
      </w:tr>
      <w:tr w:rsidR="00622CC3" w:rsidRPr="00F2365B" w14:paraId="356C52B1" w14:textId="77777777" w:rsidTr="00622CC3">
        <w:tc>
          <w:tcPr>
            <w:tcW w:w="9108" w:type="dxa"/>
            <w:shd w:val="clear" w:color="auto" w:fill="auto"/>
          </w:tcPr>
          <w:p w14:paraId="686CEA7B" w14:textId="17AD1A42" w:rsidR="00622CC3" w:rsidRDefault="00622CC3" w:rsidP="00BA6B17">
            <w:pPr>
              <w:spacing w:before="60" w:after="60"/>
              <w:jc w:val="both"/>
              <w:rPr>
                <w:rFonts w:ascii="Arial" w:hAnsi="Arial"/>
                <w:i/>
                <w:sz w:val="22"/>
                <w:szCs w:val="22"/>
              </w:rPr>
            </w:pPr>
            <w:r>
              <w:rPr>
                <w:rFonts w:ascii="Arial" w:hAnsi="Arial"/>
                <w:i/>
                <w:sz w:val="22"/>
                <w:szCs w:val="22"/>
              </w:rPr>
              <w:t>State Service Act 2000</w:t>
            </w:r>
          </w:p>
        </w:tc>
      </w:tr>
      <w:tr w:rsidR="00622CC3" w:rsidRPr="00F2365B" w14:paraId="45F4C351" w14:textId="77777777" w:rsidTr="00622CC3">
        <w:tc>
          <w:tcPr>
            <w:tcW w:w="9108" w:type="dxa"/>
            <w:shd w:val="clear" w:color="auto" w:fill="auto"/>
          </w:tcPr>
          <w:p w14:paraId="17738652" w14:textId="59F5D7DC" w:rsidR="00622CC3" w:rsidRDefault="00622CC3" w:rsidP="00BA6B17">
            <w:pPr>
              <w:spacing w:before="60" w:after="60"/>
              <w:jc w:val="both"/>
              <w:rPr>
                <w:rFonts w:ascii="Arial" w:hAnsi="Arial"/>
                <w:i/>
                <w:sz w:val="22"/>
                <w:szCs w:val="22"/>
              </w:rPr>
            </w:pPr>
            <w:r>
              <w:rPr>
                <w:rFonts w:ascii="Arial" w:hAnsi="Arial"/>
                <w:i/>
                <w:sz w:val="22"/>
                <w:szCs w:val="22"/>
              </w:rPr>
              <w:t>Archives Act 1983</w:t>
            </w:r>
          </w:p>
        </w:tc>
      </w:tr>
      <w:tr w:rsidR="00C03745" w:rsidRPr="00F2365B" w14:paraId="26D6453F" w14:textId="77777777" w:rsidTr="00A76621">
        <w:tc>
          <w:tcPr>
            <w:tcW w:w="9108" w:type="dxa"/>
            <w:shd w:val="clear" w:color="auto" w:fill="auto"/>
          </w:tcPr>
          <w:p w14:paraId="1C98A3F2" w14:textId="77777777" w:rsidR="00C03745" w:rsidRPr="00622CC3" w:rsidRDefault="00C03745" w:rsidP="00A76621">
            <w:pPr>
              <w:spacing w:before="60" w:after="60"/>
              <w:jc w:val="both"/>
              <w:rPr>
                <w:rFonts w:ascii="Arial" w:hAnsi="Arial"/>
                <w:i/>
                <w:sz w:val="22"/>
                <w:szCs w:val="22"/>
              </w:rPr>
            </w:pPr>
            <w:r>
              <w:rPr>
                <w:rFonts w:ascii="Arial" w:hAnsi="Arial"/>
                <w:i/>
                <w:sz w:val="22"/>
                <w:szCs w:val="22"/>
              </w:rPr>
              <w:t>Tasmanian Government Web Publishing Framework</w:t>
            </w:r>
          </w:p>
        </w:tc>
      </w:tr>
      <w:tr w:rsidR="00C03745" w:rsidRPr="00F2365B" w14:paraId="66BEF60A" w14:textId="77777777" w:rsidTr="00A76621">
        <w:tc>
          <w:tcPr>
            <w:tcW w:w="9108" w:type="dxa"/>
            <w:shd w:val="clear" w:color="auto" w:fill="auto"/>
          </w:tcPr>
          <w:p w14:paraId="052B3C8F" w14:textId="77777777" w:rsidR="00C03745" w:rsidRDefault="00C03745" w:rsidP="00A76621">
            <w:pPr>
              <w:spacing w:before="60" w:after="60"/>
              <w:jc w:val="both"/>
              <w:rPr>
                <w:rFonts w:ascii="Arial" w:hAnsi="Arial"/>
                <w:i/>
                <w:sz w:val="22"/>
                <w:szCs w:val="22"/>
              </w:rPr>
            </w:pPr>
            <w:r>
              <w:rPr>
                <w:rFonts w:ascii="Arial" w:hAnsi="Arial"/>
                <w:i/>
                <w:sz w:val="22"/>
                <w:szCs w:val="22"/>
              </w:rPr>
              <w:t>Whole of Government Media Protocols</w:t>
            </w:r>
          </w:p>
        </w:tc>
      </w:tr>
      <w:tr w:rsidR="00622CC3" w:rsidRPr="00F2365B" w14:paraId="682A8AA9" w14:textId="77777777" w:rsidTr="00622CC3">
        <w:tc>
          <w:tcPr>
            <w:tcW w:w="9108" w:type="dxa"/>
            <w:shd w:val="clear" w:color="auto" w:fill="auto"/>
          </w:tcPr>
          <w:p w14:paraId="557E4504" w14:textId="4BE159B5" w:rsidR="00622CC3" w:rsidRPr="00622CC3" w:rsidRDefault="00622CC3" w:rsidP="00BA6B17">
            <w:pPr>
              <w:spacing w:before="60" w:after="60"/>
              <w:jc w:val="both"/>
              <w:rPr>
                <w:rFonts w:ascii="Arial" w:hAnsi="Arial"/>
                <w:sz w:val="22"/>
                <w:szCs w:val="22"/>
              </w:rPr>
            </w:pPr>
            <w:r>
              <w:rPr>
                <w:rFonts w:ascii="Arial" w:hAnsi="Arial"/>
                <w:sz w:val="22"/>
                <w:szCs w:val="22"/>
              </w:rPr>
              <w:t>Ombudsman’s RTI Manual and Guidelines</w:t>
            </w:r>
          </w:p>
        </w:tc>
      </w:tr>
      <w:tr w:rsidR="00C03745" w:rsidRPr="00F2365B" w14:paraId="20D9848F" w14:textId="77777777" w:rsidTr="00A76621">
        <w:tc>
          <w:tcPr>
            <w:tcW w:w="9108" w:type="dxa"/>
            <w:shd w:val="clear" w:color="auto" w:fill="auto"/>
          </w:tcPr>
          <w:p w14:paraId="58611E70" w14:textId="77777777" w:rsidR="00C03745" w:rsidRPr="00A22CEB" w:rsidRDefault="00C03745" w:rsidP="00A76621">
            <w:pPr>
              <w:spacing w:before="60" w:after="60"/>
              <w:jc w:val="both"/>
              <w:rPr>
                <w:rFonts w:ascii="Arial" w:hAnsi="Arial"/>
                <w:sz w:val="22"/>
                <w:szCs w:val="22"/>
              </w:rPr>
            </w:pPr>
            <w:r>
              <w:rPr>
                <w:rFonts w:ascii="Arial" w:hAnsi="Arial"/>
                <w:sz w:val="22"/>
                <w:szCs w:val="22"/>
              </w:rPr>
              <w:t>Departmental policies and procedures</w:t>
            </w:r>
          </w:p>
        </w:tc>
      </w:tr>
    </w:tbl>
    <w:p w14:paraId="485BF7BE" w14:textId="5FEF2CAF" w:rsidR="001153DA" w:rsidRPr="008A7C85" w:rsidRDefault="006F6B9D" w:rsidP="00514871">
      <w:pPr>
        <w:pStyle w:val="Heading1"/>
        <w:pBdr>
          <w:bottom w:val="none" w:sz="0" w:space="0" w:color="auto"/>
        </w:pBdr>
        <w:shd w:val="clear" w:color="auto" w:fill="auto"/>
        <w:jc w:val="both"/>
        <w:rPr>
          <w:rFonts w:ascii="Arial" w:hAnsi="Arial"/>
        </w:rPr>
      </w:pPr>
      <w:r w:rsidRPr="008A7C85">
        <w:rPr>
          <w:rFonts w:ascii="Arial" w:hAnsi="Arial"/>
        </w:rPr>
        <w:t>Principles</w:t>
      </w:r>
    </w:p>
    <w:p w14:paraId="149785B1" w14:textId="1114C8D9" w:rsidR="00F8622D" w:rsidRDefault="00F8622D" w:rsidP="00F8622D">
      <w:pPr>
        <w:pStyle w:val="ListParagraph"/>
        <w:numPr>
          <w:ilvl w:val="0"/>
          <w:numId w:val="11"/>
        </w:numPr>
        <w:spacing w:before="200" w:after="160"/>
        <w:ind w:left="714" w:hanging="357"/>
        <w:contextualSpacing w:val="0"/>
        <w:rPr>
          <w:rFonts w:ascii="Arial" w:hAnsi="Arial"/>
          <w:sz w:val="22"/>
          <w:szCs w:val="22"/>
        </w:rPr>
      </w:pPr>
      <w:r>
        <w:rPr>
          <w:rFonts w:ascii="Arial" w:hAnsi="Arial"/>
          <w:sz w:val="22"/>
          <w:szCs w:val="22"/>
        </w:rPr>
        <w:t>Information held by the Department is held on behalf of the people of Tasmania and is the property of the State.</w:t>
      </w:r>
    </w:p>
    <w:p w14:paraId="71476104" w14:textId="5BC7EAD0" w:rsidR="00A06633" w:rsidRDefault="00A06633" w:rsidP="00DF4F05">
      <w:pPr>
        <w:pStyle w:val="ListParagraph"/>
        <w:numPr>
          <w:ilvl w:val="0"/>
          <w:numId w:val="11"/>
        </w:numPr>
        <w:spacing w:before="200" w:after="160"/>
        <w:ind w:left="714" w:hanging="357"/>
        <w:contextualSpacing w:val="0"/>
        <w:rPr>
          <w:rFonts w:ascii="Arial" w:hAnsi="Arial"/>
          <w:sz w:val="22"/>
          <w:szCs w:val="22"/>
        </w:rPr>
      </w:pPr>
      <w:r>
        <w:rPr>
          <w:rFonts w:ascii="Arial" w:hAnsi="Arial"/>
          <w:sz w:val="22"/>
          <w:szCs w:val="22"/>
        </w:rPr>
        <w:t>The RTI Act gives a person a legally enforceable right to be provided with information, unless the information is exempt information.</w:t>
      </w:r>
    </w:p>
    <w:p w14:paraId="0A127900" w14:textId="6CADF342" w:rsidR="00F2365B" w:rsidRDefault="00F2365B" w:rsidP="00DF4F05">
      <w:pPr>
        <w:pStyle w:val="ListParagraph"/>
        <w:numPr>
          <w:ilvl w:val="0"/>
          <w:numId w:val="11"/>
        </w:numPr>
        <w:spacing w:before="200" w:after="160"/>
        <w:ind w:left="714" w:hanging="357"/>
        <w:contextualSpacing w:val="0"/>
        <w:rPr>
          <w:rFonts w:ascii="Arial" w:hAnsi="Arial"/>
          <w:sz w:val="22"/>
          <w:szCs w:val="22"/>
        </w:rPr>
      </w:pPr>
      <w:r>
        <w:rPr>
          <w:rFonts w:ascii="Arial" w:hAnsi="Arial"/>
          <w:sz w:val="22"/>
          <w:szCs w:val="22"/>
        </w:rPr>
        <w:lastRenderedPageBreak/>
        <w:t>The Department is committed to fulfilling its obligations under the RTI Act, particularly with regard to making information readily available to a broad audience.</w:t>
      </w:r>
    </w:p>
    <w:p w14:paraId="1F8803A8" w14:textId="6270AA41" w:rsidR="00A06633" w:rsidRDefault="00A06633" w:rsidP="00DF4F05">
      <w:pPr>
        <w:pStyle w:val="ListParagraph"/>
        <w:numPr>
          <w:ilvl w:val="0"/>
          <w:numId w:val="11"/>
        </w:numPr>
        <w:spacing w:before="200" w:after="160"/>
        <w:ind w:left="714" w:hanging="357"/>
        <w:contextualSpacing w:val="0"/>
        <w:rPr>
          <w:rFonts w:ascii="Arial" w:hAnsi="Arial"/>
          <w:sz w:val="22"/>
          <w:szCs w:val="22"/>
        </w:rPr>
      </w:pPr>
      <w:r>
        <w:rPr>
          <w:rFonts w:ascii="Arial" w:hAnsi="Arial"/>
          <w:sz w:val="22"/>
          <w:szCs w:val="22"/>
        </w:rPr>
        <w:t>All officers are responsible and accountable for</w:t>
      </w:r>
      <w:r w:rsidR="00622CC3">
        <w:rPr>
          <w:rFonts w:ascii="Arial" w:hAnsi="Arial"/>
          <w:sz w:val="22"/>
          <w:szCs w:val="22"/>
        </w:rPr>
        <w:t xml:space="preserve"> appropriate record-keeping.</w:t>
      </w:r>
    </w:p>
    <w:p w14:paraId="485BF7C2" w14:textId="0C8B5ED9" w:rsidR="00180D7D" w:rsidRPr="008A7C85" w:rsidRDefault="00180D7D" w:rsidP="00514871">
      <w:pPr>
        <w:pStyle w:val="Heading4"/>
        <w:rPr>
          <w:rFonts w:ascii="Arial" w:hAnsi="Arial"/>
        </w:rPr>
      </w:pPr>
      <w:r w:rsidRPr="008A7C85">
        <w:rPr>
          <w:rFonts w:ascii="Arial" w:hAnsi="Arial"/>
        </w:rPr>
        <w:t>Roles and Responsibilities</w:t>
      </w:r>
    </w:p>
    <w:p w14:paraId="4DDFB306" w14:textId="012F6024" w:rsidR="00433F8C" w:rsidRPr="00971882" w:rsidRDefault="00433F8C" w:rsidP="00DF4F05">
      <w:pPr>
        <w:pStyle w:val="ListParagraph"/>
        <w:numPr>
          <w:ilvl w:val="0"/>
          <w:numId w:val="4"/>
        </w:numPr>
        <w:spacing w:before="200"/>
        <w:rPr>
          <w:rFonts w:ascii="Arial" w:hAnsi="Arial"/>
          <w:b/>
          <w:sz w:val="22"/>
          <w:szCs w:val="22"/>
        </w:rPr>
      </w:pPr>
      <w:bookmarkStart w:id="31" w:name="_Toc304277211"/>
      <w:bookmarkStart w:id="32" w:name="_Toc304277292"/>
      <w:bookmarkStart w:id="33" w:name="_Toc330901240"/>
      <w:r w:rsidRPr="00971882">
        <w:rPr>
          <w:rFonts w:ascii="Arial" w:hAnsi="Arial"/>
          <w:b/>
          <w:sz w:val="22"/>
          <w:szCs w:val="22"/>
        </w:rPr>
        <w:t>Required Disclosure</w:t>
      </w:r>
    </w:p>
    <w:p w14:paraId="18FBE57B" w14:textId="472F3765" w:rsidR="00E9637E" w:rsidRDefault="00433F8C" w:rsidP="00433F8C">
      <w:pPr>
        <w:spacing w:before="200"/>
        <w:rPr>
          <w:rFonts w:ascii="Arial" w:hAnsi="Arial"/>
          <w:sz w:val="22"/>
          <w:szCs w:val="22"/>
        </w:rPr>
      </w:pPr>
      <w:r>
        <w:rPr>
          <w:rFonts w:ascii="Arial" w:hAnsi="Arial"/>
          <w:sz w:val="22"/>
          <w:szCs w:val="22"/>
        </w:rPr>
        <w:t>The Department is required by a variety of legislation to disclose certain information</w:t>
      </w:r>
      <w:r w:rsidR="00C03745">
        <w:rPr>
          <w:rFonts w:ascii="Arial" w:hAnsi="Arial"/>
          <w:sz w:val="22"/>
          <w:szCs w:val="22"/>
        </w:rPr>
        <w:t>.  F</w:t>
      </w:r>
      <w:r>
        <w:rPr>
          <w:rFonts w:ascii="Arial" w:hAnsi="Arial"/>
          <w:sz w:val="22"/>
          <w:szCs w:val="22"/>
        </w:rPr>
        <w:t xml:space="preserve">or example, annual reports </w:t>
      </w:r>
      <w:r w:rsidR="00C03745">
        <w:rPr>
          <w:rFonts w:ascii="Arial" w:hAnsi="Arial"/>
          <w:sz w:val="22"/>
          <w:szCs w:val="22"/>
        </w:rPr>
        <w:t xml:space="preserve">are required to be published </w:t>
      </w:r>
      <w:r>
        <w:rPr>
          <w:rFonts w:ascii="Arial" w:hAnsi="Arial"/>
          <w:sz w:val="22"/>
          <w:szCs w:val="22"/>
        </w:rPr>
        <w:t xml:space="preserve">in accordance with the </w:t>
      </w:r>
      <w:r>
        <w:rPr>
          <w:rFonts w:ascii="Arial" w:hAnsi="Arial"/>
          <w:i/>
          <w:sz w:val="22"/>
          <w:szCs w:val="22"/>
        </w:rPr>
        <w:t>State Service Act 2000</w:t>
      </w:r>
      <w:r>
        <w:rPr>
          <w:rFonts w:ascii="Arial" w:hAnsi="Arial"/>
          <w:sz w:val="22"/>
          <w:szCs w:val="22"/>
        </w:rPr>
        <w:t>.</w:t>
      </w:r>
    </w:p>
    <w:p w14:paraId="286CD04E" w14:textId="7197C815" w:rsidR="00E9637E" w:rsidRDefault="00E9637E" w:rsidP="00433F8C">
      <w:pPr>
        <w:spacing w:before="200"/>
        <w:rPr>
          <w:rFonts w:ascii="Arial" w:hAnsi="Arial"/>
          <w:sz w:val="22"/>
          <w:szCs w:val="22"/>
        </w:rPr>
      </w:pPr>
      <w:r>
        <w:rPr>
          <w:rFonts w:ascii="Arial" w:hAnsi="Arial"/>
          <w:sz w:val="22"/>
          <w:szCs w:val="22"/>
        </w:rPr>
        <w:t>The Secretary allocates responsibility for compliance with the administration of specific legislation to Departmental officers.  Those officers are responsible for the disclosure of information in accordance with relevant legislative requirements.  Such disclosures will be made in a manner approved by the Secretary.</w:t>
      </w:r>
    </w:p>
    <w:p w14:paraId="06CFEBDA" w14:textId="473A5ECF" w:rsidR="00E9637E" w:rsidRPr="00971882" w:rsidRDefault="00E9637E" w:rsidP="001912E5">
      <w:pPr>
        <w:pStyle w:val="ListParagraph"/>
        <w:numPr>
          <w:ilvl w:val="0"/>
          <w:numId w:val="4"/>
        </w:numPr>
        <w:spacing w:before="200"/>
        <w:ind w:left="357" w:hanging="357"/>
        <w:rPr>
          <w:rFonts w:ascii="Arial" w:hAnsi="Arial"/>
          <w:b/>
          <w:sz w:val="22"/>
          <w:szCs w:val="22"/>
        </w:rPr>
      </w:pPr>
      <w:r w:rsidRPr="00971882">
        <w:rPr>
          <w:rFonts w:ascii="Arial" w:hAnsi="Arial"/>
          <w:b/>
          <w:sz w:val="22"/>
          <w:szCs w:val="22"/>
        </w:rPr>
        <w:t>Routine Disclosure</w:t>
      </w:r>
    </w:p>
    <w:p w14:paraId="796D0277" w14:textId="2F7E8F7E" w:rsidR="00C03745" w:rsidRDefault="00C03745" w:rsidP="00EC56BB">
      <w:pPr>
        <w:spacing w:before="200"/>
        <w:rPr>
          <w:rFonts w:ascii="Arial" w:hAnsi="Arial"/>
          <w:sz w:val="22"/>
          <w:szCs w:val="22"/>
        </w:rPr>
      </w:pPr>
      <w:r>
        <w:rPr>
          <w:rFonts w:ascii="Arial" w:hAnsi="Arial"/>
          <w:sz w:val="22"/>
          <w:szCs w:val="22"/>
        </w:rPr>
        <w:t>The Department proactively makes available a wide range of information it considers may be of interest to the general public.  This includes information about the Department’s structure, services, activities, and finances.</w:t>
      </w:r>
    </w:p>
    <w:p w14:paraId="563DABE7" w14:textId="5C4886FD" w:rsidR="00EC56BB" w:rsidRPr="00EC56BB" w:rsidRDefault="00EC56BB" w:rsidP="00EC56BB">
      <w:pPr>
        <w:spacing w:before="200"/>
        <w:rPr>
          <w:rFonts w:ascii="Arial" w:hAnsi="Arial"/>
          <w:sz w:val="22"/>
          <w:szCs w:val="22"/>
        </w:rPr>
      </w:pPr>
      <w:r w:rsidRPr="00EC56BB">
        <w:rPr>
          <w:rFonts w:ascii="Arial" w:hAnsi="Arial"/>
          <w:sz w:val="22"/>
          <w:szCs w:val="22"/>
        </w:rPr>
        <w:t>Information released routinely will generally be available on the Department’s website and at no cost.</w:t>
      </w:r>
      <w:r w:rsidR="00C03745">
        <w:rPr>
          <w:rFonts w:ascii="Arial" w:hAnsi="Arial"/>
          <w:sz w:val="22"/>
          <w:szCs w:val="22"/>
        </w:rPr>
        <w:t xml:space="preserve">  Other information is available for purchase.</w:t>
      </w:r>
    </w:p>
    <w:p w14:paraId="16F8A047" w14:textId="256CF108" w:rsidR="00EC56BB" w:rsidRPr="00EC56BB" w:rsidRDefault="00EC56BB" w:rsidP="00EC56BB">
      <w:pPr>
        <w:spacing w:before="200"/>
        <w:rPr>
          <w:rFonts w:ascii="Arial" w:hAnsi="Arial"/>
          <w:sz w:val="22"/>
          <w:szCs w:val="22"/>
        </w:rPr>
      </w:pPr>
      <w:r w:rsidRPr="00EC56BB">
        <w:rPr>
          <w:rFonts w:ascii="Arial" w:hAnsi="Arial"/>
          <w:sz w:val="22"/>
          <w:szCs w:val="22"/>
        </w:rPr>
        <w:t xml:space="preserve">Where </w:t>
      </w:r>
      <w:r w:rsidR="00810B94">
        <w:rPr>
          <w:rFonts w:ascii="Arial" w:hAnsi="Arial"/>
          <w:sz w:val="22"/>
          <w:szCs w:val="22"/>
        </w:rPr>
        <w:t xml:space="preserve">a person cannot access information freely available </w:t>
      </w:r>
      <w:r w:rsidRPr="00EC56BB">
        <w:rPr>
          <w:rFonts w:ascii="Arial" w:hAnsi="Arial"/>
          <w:sz w:val="22"/>
          <w:szCs w:val="22"/>
        </w:rPr>
        <w:t>on-line, it will be made available by other reasonable means, which may incur a fee.</w:t>
      </w:r>
    </w:p>
    <w:p w14:paraId="5B2971B9" w14:textId="77777777" w:rsidR="00EC56BB" w:rsidRPr="00EC56BB" w:rsidRDefault="00EC56BB" w:rsidP="00EC56BB">
      <w:pPr>
        <w:spacing w:before="200"/>
        <w:rPr>
          <w:rFonts w:ascii="Arial" w:hAnsi="Arial"/>
          <w:sz w:val="22"/>
          <w:szCs w:val="22"/>
        </w:rPr>
      </w:pPr>
      <w:r w:rsidRPr="00EC56BB">
        <w:rPr>
          <w:rFonts w:ascii="Arial" w:hAnsi="Arial"/>
          <w:sz w:val="22"/>
          <w:szCs w:val="22"/>
        </w:rPr>
        <w:t>On-line content must be approved by the relevant branch manager, in consultation with Corporate Communications and Web Services.</w:t>
      </w:r>
    </w:p>
    <w:p w14:paraId="28DA8DE1" w14:textId="28216F12" w:rsidR="00F07665" w:rsidRDefault="00F07665" w:rsidP="00433F8C">
      <w:pPr>
        <w:spacing w:before="200"/>
        <w:rPr>
          <w:rFonts w:ascii="Arial" w:hAnsi="Arial"/>
          <w:sz w:val="22"/>
          <w:szCs w:val="22"/>
        </w:rPr>
      </w:pPr>
      <w:r>
        <w:rPr>
          <w:rFonts w:ascii="Arial" w:hAnsi="Arial"/>
          <w:sz w:val="22"/>
          <w:szCs w:val="22"/>
        </w:rPr>
        <w:t>Departmental officers are to regularly review the information they hold and identify what information may be routinely disclosed.</w:t>
      </w:r>
      <w:r w:rsidR="00EC56BB">
        <w:rPr>
          <w:rFonts w:ascii="Arial" w:hAnsi="Arial"/>
          <w:sz w:val="22"/>
          <w:szCs w:val="22"/>
        </w:rPr>
        <w:t xml:space="preserve">  Disclosure must be lawful, that is </w:t>
      </w:r>
      <w:r w:rsidR="000D022C">
        <w:rPr>
          <w:rFonts w:ascii="Arial" w:hAnsi="Arial"/>
          <w:sz w:val="22"/>
          <w:szCs w:val="22"/>
        </w:rPr>
        <w:t xml:space="preserve">it </w:t>
      </w:r>
      <w:r w:rsidR="00EC56BB">
        <w:rPr>
          <w:rFonts w:ascii="Arial" w:hAnsi="Arial"/>
          <w:sz w:val="22"/>
          <w:szCs w:val="22"/>
        </w:rPr>
        <w:t>must have regard to any legislation or other legal obligation pr</w:t>
      </w:r>
      <w:r w:rsidR="00810B94">
        <w:rPr>
          <w:rFonts w:ascii="Arial" w:hAnsi="Arial"/>
          <w:sz w:val="22"/>
          <w:szCs w:val="22"/>
        </w:rPr>
        <w:t>eventing or limiting disclosure.  Of particular note are the restrictions on the disclosure of personal information.</w:t>
      </w:r>
    </w:p>
    <w:p w14:paraId="6381BCF0" w14:textId="02DB9351" w:rsidR="00F07665" w:rsidRDefault="00F07665" w:rsidP="00433F8C">
      <w:pPr>
        <w:spacing w:before="200"/>
        <w:rPr>
          <w:rFonts w:ascii="Arial" w:hAnsi="Arial"/>
          <w:sz w:val="22"/>
          <w:szCs w:val="22"/>
        </w:rPr>
      </w:pPr>
      <w:r>
        <w:rPr>
          <w:rFonts w:ascii="Arial" w:hAnsi="Arial"/>
          <w:sz w:val="22"/>
          <w:szCs w:val="22"/>
        </w:rPr>
        <w:t>Information should be considered for routine disclosure when it is:</w:t>
      </w:r>
    </w:p>
    <w:p w14:paraId="2A7FC5FF" w14:textId="06C4E2F5" w:rsidR="00F07665" w:rsidRDefault="00F07665" w:rsidP="00DF4F05">
      <w:pPr>
        <w:pStyle w:val="ListParagraph"/>
        <w:numPr>
          <w:ilvl w:val="0"/>
          <w:numId w:val="10"/>
        </w:numPr>
        <w:spacing w:before="200"/>
        <w:rPr>
          <w:rFonts w:ascii="Arial" w:hAnsi="Arial"/>
          <w:sz w:val="22"/>
          <w:szCs w:val="22"/>
        </w:rPr>
      </w:pPr>
      <w:r>
        <w:rPr>
          <w:rFonts w:ascii="Arial" w:hAnsi="Arial"/>
          <w:sz w:val="22"/>
          <w:szCs w:val="22"/>
        </w:rPr>
        <w:t>Significant, relevant and meaningful to the community.</w:t>
      </w:r>
    </w:p>
    <w:p w14:paraId="2C52FD1C" w14:textId="1B4F7395" w:rsidR="00F07665" w:rsidRDefault="00F07665" w:rsidP="00DF4F05">
      <w:pPr>
        <w:pStyle w:val="ListParagraph"/>
        <w:numPr>
          <w:ilvl w:val="0"/>
          <w:numId w:val="10"/>
        </w:numPr>
        <w:spacing w:before="200"/>
        <w:rPr>
          <w:rFonts w:ascii="Arial" w:hAnsi="Arial"/>
          <w:sz w:val="22"/>
          <w:szCs w:val="22"/>
        </w:rPr>
      </w:pPr>
      <w:r>
        <w:rPr>
          <w:rFonts w:ascii="Arial" w:hAnsi="Arial"/>
          <w:sz w:val="22"/>
          <w:szCs w:val="22"/>
        </w:rPr>
        <w:t>Of a type that key stakeholders and the community would reasonably expect to be able to access.</w:t>
      </w:r>
    </w:p>
    <w:p w14:paraId="5211DBCB" w14:textId="68660054" w:rsidR="00F07665" w:rsidRDefault="00F07665" w:rsidP="00DF4F05">
      <w:pPr>
        <w:pStyle w:val="ListParagraph"/>
        <w:numPr>
          <w:ilvl w:val="0"/>
          <w:numId w:val="10"/>
        </w:numPr>
        <w:spacing w:before="200"/>
        <w:rPr>
          <w:rFonts w:ascii="Arial" w:hAnsi="Arial"/>
          <w:sz w:val="22"/>
          <w:szCs w:val="22"/>
        </w:rPr>
      </w:pPr>
      <w:r>
        <w:rPr>
          <w:rFonts w:ascii="Arial" w:hAnsi="Arial"/>
          <w:sz w:val="22"/>
          <w:szCs w:val="22"/>
        </w:rPr>
        <w:t>Requested on a regular basis.</w:t>
      </w:r>
    </w:p>
    <w:p w14:paraId="1229CB39" w14:textId="02726930" w:rsidR="00F07665" w:rsidRDefault="00F07665" w:rsidP="00DF4F05">
      <w:pPr>
        <w:pStyle w:val="ListParagraph"/>
        <w:numPr>
          <w:ilvl w:val="0"/>
          <w:numId w:val="10"/>
        </w:numPr>
        <w:spacing w:before="200"/>
        <w:rPr>
          <w:rFonts w:ascii="Arial" w:hAnsi="Arial"/>
          <w:sz w:val="22"/>
          <w:szCs w:val="22"/>
        </w:rPr>
      </w:pPr>
      <w:r>
        <w:rPr>
          <w:rFonts w:ascii="Arial" w:hAnsi="Arial"/>
          <w:sz w:val="22"/>
          <w:szCs w:val="22"/>
        </w:rPr>
        <w:t>Of a type that would help the public to deal with the Department.</w:t>
      </w:r>
    </w:p>
    <w:p w14:paraId="2C278051" w14:textId="1A09008B" w:rsidR="00F07665" w:rsidRDefault="00F07665" w:rsidP="00DF4F05">
      <w:pPr>
        <w:pStyle w:val="ListParagraph"/>
        <w:numPr>
          <w:ilvl w:val="0"/>
          <w:numId w:val="10"/>
        </w:numPr>
        <w:spacing w:before="200"/>
        <w:rPr>
          <w:rFonts w:ascii="Arial" w:hAnsi="Arial"/>
          <w:sz w:val="22"/>
          <w:szCs w:val="22"/>
        </w:rPr>
      </w:pPr>
      <w:r>
        <w:rPr>
          <w:rFonts w:ascii="Arial" w:hAnsi="Arial"/>
          <w:sz w:val="22"/>
          <w:szCs w:val="22"/>
        </w:rPr>
        <w:t>Of a type that would help the public to contribute to the Department’s work or decision-making.</w:t>
      </w:r>
    </w:p>
    <w:p w14:paraId="46788EBF" w14:textId="440E6C0A" w:rsidR="00F07665" w:rsidRDefault="00F07665" w:rsidP="00DF4F05">
      <w:pPr>
        <w:pStyle w:val="ListParagraph"/>
        <w:numPr>
          <w:ilvl w:val="0"/>
          <w:numId w:val="10"/>
        </w:numPr>
        <w:spacing w:before="200"/>
        <w:rPr>
          <w:rFonts w:ascii="Arial" w:hAnsi="Arial"/>
          <w:sz w:val="22"/>
          <w:szCs w:val="22"/>
        </w:rPr>
      </w:pPr>
      <w:r>
        <w:rPr>
          <w:rFonts w:ascii="Arial" w:hAnsi="Arial"/>
          <w:sz w:val="22"/>
          <w:szCs w:val="22"/>
        </w:rPr>
        <w:t>Of a type that would increase the transparency of the Department’s operations.</w:t>
      </w:r>
    </w:p>
    <w:p w14:paraId="67F52EB9" w14:textId="1505EBF5" w:rsidR="00F07665" w:rsidRDefault="00F07665" w:rsidP="00DF4F05">
      <w:pPr>
        <w:pStyle w:val="ListParagraph"/>
        <w:numPr>
          <w:ilvl w:val="0"/>
          <w:numId w:val="10"/>
        </w:numPr>
        <w:spacing w:before="200"/>
        <w:rPr>
          <w:rFonts w:ascii="Arial" w:hAnsi="Arial"/>
          <w:sz w:val="22"/>
          <w:szCs w:val="22"/>
        </w:rPr>
      </w:pPr>
      <w:r>
        <w:rPr>
          <w:rFonts w:ascii="Arial" w:hAnsi="Arial"/>
          <w:sz w:val="22"/>
          <w:szCs w:val="22"/>
        </w:rPr>
        <w:t>Of a type that would promote greater accountability of the Department for its decisions</w:t>
      </w:r>
      <w:r w:rsidR="00EC56BB">
        <w:rPr>
          <w:rFonts w:ascii="Arial" w:hAnsi="Arial"/>
          <w:sz w:val="22"/>
          <w:szCs w:val="22"/>
        </w:rPr>
        <w:t>.</w:t>
      </w:r>
    </w:p>
    <w:p w14:paraId="04BCE2B7" w14:textId="5D5247E4" w:rsidR="00EC56BB" w:rsidRDefault="00EC56BB" w:rsidP="00DF4F05">
      <w:pPr>
        <w:pStyle w:val="ListParagraph"/>
        <w:numPr>
          <w:ilvl w:val="0"/>
          <w:numId w:val="10"/>
        </w:numPr>
        <w:spacing w:before="200"/>
        <w:rPr>
          <w:rFonts w:ascii="Arial" w:hAnsi="Arial"/>
          <w:sz w:val="22"/>
          <w:szCs w:val="22"/>
        </w:rPr>
      </w:pPr>
      <w:r>
        <w:rPr>
          <w:rFonts w:ascii="Arial" w:hAnsi="Arial"/>
          <w:sz w:val="22"/>
          <w:szCs w:val="22"/>
        </w:rPr>
        <w:t>Easily provided at no or low cost.</w:t>
      </w:r>
    </w:p>
    <w:p w14:paraId="7FC71F3A" w14:textId="32742F8C" w:rsidR="00EC56BB" w:rsidRDefault="00EC56BB" w:rsidP="00EC56BB">
      <w:pPr>
        <w:spacing w:before="200"/>
        <w:rPr>
          <w:rFonts w:ascii="Arial" w:hAnsi="Arial"/>
          <w:sz w:val="22"/>
          <w:szCs w:val="22"/>
        </w:rPr>
      </w:pPr>
      <w:r>
        <w:rPr>
          <w:rFonts w:ascii="Arial" w:hAnsi="Arial"/>
          <w:sz w:val="22"/>
          <w:szCs w:val="22"/>
        </w:rPr>
        <w:t>The officer responsible for the decision to routinely disclose information has an ongoing responsibility to ensure the disclosed information remains accurate and up-to-date, and that information is amended or removed as required.</w:t>
      </w:r>
    </w:p>
    <w:p w14:paraId="388F03BC" w14:textId="0A51E386" w:rsidR="00583E0F" w:rsidRDefault="00360C90" w:rsidP="00433F8C">
      <w:pPr>
        <w:spacing w:before="200"/>
        <w:rPr>
          <w:rFonts w:ascii="Arial" w:hAnsi="Arial"/>
          <w:sz w:val="22"/>
          <w:szCs w:val="22"/>
        </w:rPr>
      </w:pPr>
      <w:r>
        <w:rPr>
          <w:rFonts w:ascii="Arial" w:hAnsi="Arial"/>
          <w:sz w:val="22"/>
          <w:szCs w:val="22"/>
        </w:rPr>
        <w:t>Routinely disclosed information will include, at a minimum:</w:t>
      </w:r>
    </w:p>
    <w:p w14:paraId="45E52902" w14:textId="77777777" w:rsidR="001912E5" w:rsidRPr="001912E5" w:rsidRDefault="001912E5" w:rsidP="001912E5">
      <w:pPr>
        <w:pStyle w:val="ListParagraph"/>
        <w:numPr>
          <w:ilvl w:val="0"/>
          <w:numId w:val="12"/>
        </w:numPr>
        <w:spacing w:before="60" w:after="60"/>
        <w:rPr>
          <w:rFonts w:ascii="Arial" w:hAnsi="Arial"/>
          <w:sz w:val="22"/>
          <w:szCs w:val="22"/>
        </w:rPr>
      </w:pPr>
      <w:r w:rsidRPr="001912E5">
        <w:rPr>
          <w:rFonts w:ascii="Arial" w:hAnsi="Arial"/>
          <w:sz w:val="22"/>
          <w:szCs w:val="22"/>
        </w:rPr>
        <w:t>Organisational structure and functions</w:t>
      </w:r>
    </w:p>
    <w:p w14:paraId="036310F7" w14:textId="77777777" w:rsidR="001912E5" w:rsidRPr="001912E5" w:rsidRDefault="001912E5" w:rsidP="001912E5">
      <w:pPr>
        <w:pStyle w:val="ListParagraph"/>
        <w:numPr>
          <w:ilvl w:val="0"/>
          <w:numId w:val="12"/>
        </w:numPr>
        <w:spacing w:before="60" w:after="60"/>
        <w:rPr>
          <w:rFonts w:ascii="Arial" w:hAnsi="Arial"/>
          <w:sz w:val="22"/>
          <w:szCs w:val="22"/>
        </w:rPr>
      </w:pPr>
      <w:r w:rsidRPr="001912E5">
        <w:rPr>
          <w:rFonts w:ascii="Arial" w:hAnsi="Arial"/>
          <w:sz w:val="22"/>
          <w:szCs w:val="22"/>
        </w:rPr>
        <w:lastRenderedPageBreak/>
        <w:t>Departmental governance policies</w:t>
      </w:r>
    </w:p>
    <w:p w14:paraId="0A8E820A" w14:textId="77777777" w:rsidR="001912E5" w:rsidRPr="001912E5" w:rsidRDefault="001912E5" w:rsidP="001912E5">
      <w:pPr>
        <w:pStyle w:val="ListParagraph"/>
        <w:numPr>
          <w:ilvl w:val="0"/>
          <w:numId w:val="12"/>
        </w:numPr>
        <w:spacing w:before="60" w:after="60"/>
        <w:rPr>
          <w:rFonts w:ascii="Arial" w:hAnsi="Arial"/>
          <w:sz w:val="22"/>
          <w:szCs w:val="22"/>
        </w:rPr>
      </w:pPr>
      <w:r w:rsidRPr="001912E5">
        <w:rPr>
          <w:rFonts w:ascii="Arial" w:hAnsi="Arial"/>
          <w:sz w:val="22"/>
          <w:szCs w:val="22"/>
        </w:rPr>
        <w:t>Major policy and program initiatives</w:t>
      </w:r>
    </w:p>
    <w:p w14:paraId="181F76DA" w14:textId="77777777" w:rsidR="001912E5" w:rsidRPr="001912E5" w:rsidRDefault="001912E5" w:rsidP="001912E5">
      <w:pPr>
        <w:pStyle w:val="ListParagraph"/>
        <w:numPr>
          <w:ilvl w:val="0"/>
          <w:numId w:val="12"/>
        </w:numPr>
        <w:spacing w:before="60" w:after="60"/>
        <w:rPr>
          <w:rFonts w:ascii="Arial" w:hAnsi="Arial"/>
          <w:sz w:val="22"/>
          <w:szCs w:val="22"/>
        </w:rPr>
      </w:pPr>
      <w:r w:rsidRPr="001912E5">
        <w:rPr>
          <w:rFonts w:ascii="Arial" w:hAnsi="Arial"/>
          <w:sz w:val="22"/>
          <w:szCs w:val="22"/>
        </w:rPr>
        <w:t>Total expenditure relating to telecommunications and mobile devices</w:t>
      </w:r>
    </w:p>
    <w:p w14:paraId="0A1F4C09" w14:textId="77777777" w:rsidR="001912E5" w:rsidRPr="001912E5" w:rsidRDefault="001912E5" w:rsidP="001912E5">
      <w:pPr>
        <w:pStyle w:val="ListParagraph"/>
        <w:numPr>
          <w:ilvl w:val="0"/>
          <w:numId w:val="12"/>
        </w:numPr>
        <w:spacing w:before="60" w:after="60"/>
        <w:rPr>
          <w:rFonts w:ascii="Arial" w:hAnsi="Arial"/>
          <w:sz w:val="22"/>
          <w:szCs w:val="22"/>
        </w:rPr>
      </w:pPr>
      <w:r w:rsidRPr="001912E5">
        <w:rPr>
          <w:rFonts w:ascii="Arial" w:hAnsi="Arial"/>
          <w:sz w:val="22"/>
          <w:szCs w:val="22"/>
        </w:rPr>
        <w:t>Gifts and hospitality received</w:t>
      </w:r>
    </w:p>
    <w:p w14:paraId="6DB4A9A4" w14:textId="77777777" w:rsidR="001912E5" w:rsidRPr="001912E5" w:rsidRDefault="001912E5" w:rsidP="001912E5">
      <w:pPr>
        <w:pStyle w:val="ListParagraph"/>
        <w:numPr>
          <w:ilvl w:val="0"/>
          <w:numId w:val="12"/>
        </w:numPr>
        <w:spacing w:before="60" w:after="60"/>
        <w:rPr>
          <w:rFonts w:ascii="Arial" w:hAnsi="Arial"/>
          <w:sz w:val="22"/>
          <w:szCs w:val="22"/>
        </w:rPr>
      </w:pPr>
      <w:r w:rsidRPr="001912E5">
        <w:rPr>
          <w:rFonts w:ascii="Arial" w:hAnsi="Arial"/>
          <w:sz w:val="22"/>
          <w:szCs w:val="22"/>
        </w:rPr>
        <w:t>Contracts and consultancies awarded greater than $50,000</w:t>
      </w:r>
    </w:p>
    <w:p w14:paraId="4D767DAE" w14:textId="3B406D1F" w:rsidR="00971882" w:rsidRPr="00971882" w:rsidRDefault="00971882" w:rsidP="001912E5">
      <w:pPr>
        <w:pStyle w:val="ListParagraph"/>
        <w:numPr>
          <w:ilvl w:val="0"/>
          <w:numId w:val="4"/>
        </w:numPr>
        <w:spacing w:before="200"/>
        <w:ind w:left="357" w:hanging="357"/>
        <w:contextualSpacing w:val="0"/>
        <w:rPr>
          <w:rFonts w:ascii="Arial" w:hAnsi="Arial"/>
          <w:b/>
          <w:sz w:val="22"/>
          <w:szCs w:val="22"/>
        </w:rPr>
      </w:pPr>
      <w:r w:rsidRPr="00971882">
        <w:rPr>
          <w:rFonts w:ascii="Arial" w:hAnsi="Arial"/>
          <w:b/>
          <w:sz w:val="22"/>
          <w:szCs w:val="22"/>
        </w:rPr>
        <w:t>Active disclosure</w:t>
      </w:r>
    </w:p>
    <w:p w14:paraId="23BFCB65" w14:textId="77777777" w:rsidR="00206612" w:rsidRPr="00206612" w:rsidRDefault="00206612" w:rsidP="00206612">
      <w:pPr>
        <w:spacing w:before="200"/>
        <w:rPr>
          <w:rFonts w:ascii="Arial" w:hAnsi="Arial"/>
          <w:sz w:val="22"/>
          <w:szCs w:val="22"/>
        </w:rPr>
      </w:pPr>
      <w:r w:rsidRPr="00206612">
        <w:rPr>
          <w:rFonts w:ascii="Arial" w:hAnsi="Arial"/>
          <w:sz w:val="22"/>
          <w:szCs w:val="22"/>
        </w:rPr>
        <w:t xml:space="preserve">The </w:t>
      </w:r>
      <w:r w:rsidRPr="00206612">
        <w:rPr>
          <w:rFonts w:ascii="Arial" w:hAnsi="Arial"/>
          <w:i/>
          <w:sz w:val="22"/>
          <w:szCs w:val="22"/>
        </w:rPr>
        <w:t>Tasmanian Government Communications Policy</w:t>
      </w:r>
      <w:r w:rsidRPr="00206612">
        <w:rPr>
          <w:rFonts w:ascii="Arial" w:hAnsi="Arial"/>
          <w:sz w:val="22"/>
          <w:szCs w:val="22"/>
        </w:rPr>
        <w:t xml:space="preserve"> provides general guidance about communications.</w:t>
      </w:r>
    </w:p>
    <w:p w14:paraId="2467C013" w14:textId="5F459196" w:rsidR="00971882" w:rsidRDefault="0025089F" w:rsidP="00971882">
      <w:pPr>
        <w:spacing w:before="200"/>
        <w:rPr>
          <w:rFonts w:ascii="Arial" w:hAnsi="Arial"/>
          <w:sz w:val="22"/>
          <w:szCs w:val="22"/>
        </w:rPr>
      </w:pPr>
      <w:r>
        <w:rPr>
          <w:rFonts w:ascii="Arial" w:hAnsi="Arial"/>
          <w:sz w:val="22"/>
          <w:szCs w:val="22"/>
        </w:rPr>
        <w:t>Many direct requests for information can simply be responded to by the Departmental officer who receives the request.</w:t>
      </w:r>
      <w:r w:rsidR="00206612">
        <w:rPr>
          <w:rFonts w:ascii="Arial" w:hAnsi="Arial"/>
          <w:sz w:val="22"/>
          <w:szCs w:val="22"/>
        </w:rPr>
        <w:t xml:space="preserve">  However, more complex requests may need to be dealt with in writing, with management or senior management clearance for the disclosure of information.</w:t>
      </w:r>
    </w:p>
    <w:p w14:paraId="02D75746" w14:textId="658BDC45" w:rsidR="00206612" w:rsidRDefault="00206612" w:rsidP="00971882">
      <w:pPr>
        <w:spacing w:before="200"/>
        <w:rPr>
          <w:rFonts w:ascii="Arial" w:hAnsi="Arial"/>
          <w:sz w:val="22"/>
          <w:szCs w:val="22"/>
        </w:rPr>
      </w:pPr>
      <w:r>
        <w:rPr>
          <w:rFonts w:ascii="Arial" w:hAnsi="Arial"/>
          <w:sz w:val="22"/>
          <w:szCs w:val="22"/>
        </w:rPr>
        <w:t>Requests for information from the media are to be referred to the Corporate Communications Branch to agree on the process for response.</w:t>
      </w:r>
    </w:p>
    <w:p w14:paraId="048E6380" w14:textId="05FF02E0" w:rsidR="00206612" w:rsidRDefault="00492D06" w:rsidP="00971882">
      <w:pPr>
        <w:spacing w:before="200"/>
        <w:rPr>
          <w:rFonts w:ascii="Arial" w:hAnsi="Arial"/>
          <w:sz w:val="22"/>
          <w:szCs w:val="22"/>
        </w:rPr>
      </w:pPr>
      <w:r>
        <w:rPr>
          <w:rFonts w:ascii="Arial" w:hAnsi="Arial"/>
          <w:sz w:val="22"/>
          <w:szCs w:val="22"/>
        </w:rPr>
        <w:t>Direct r</w:t>
      </w:r>
      <w:r w:rsidR="00206612">
        <w:rPr>
          <w:rFonts w:ascii="Arial" w:hAnsi="Arial"/>
          <w:sz w:val="22"/>
          <w:szCs w:val="22"/>
        </w:rPr>
        <w:t xml:space="preserve">equests for information from Members of Parliament must be dealt with through </w:t>
      </w:r>
      <w:r>
        <w:rPr>
          <w:rFonts w:ascii="Arial" w:hAnsi="Arial"/>
          <w:sz w:val="22"/>
          <w:szCs w:val="22"/>
        </w:rPr>
        <w:t>the relevant Ministers’ offices, with reference to any relevant protocols.</w:t>
      </w:r>
    </w:p>
    <w:p w14:paraId="44A47C25" w14:textId="00D460DF" w:rsidR="00206612" w:rsidRDefault="00206612" w:rsidP="00971882">
      <w:pPr>
        <w:spacing w:before="200"/>
        <w:rPr>
          <w:rFonts w:ascii="Arial" w:hAnsi="Arial"/>
          <w:sz w:val="22"/>
          <w:szCs w:val="22"/>
        </w:rPr>
      </w:pPr>
      <w:r>
        <w:rPr>
          <w:rFonts w:ascii="Arial" w:hAnsi="Arial"/>
          <w:sz w:val="22"/>
          <w:szCs w:val="22"/>
        </w:rPr>
        <w:t>Considerations that may indicate information should not be actively disclosed include</w:t>
      </w:r>
      <w:r w:rsidR="005E15D2">
        <w:rPr>
          <w:rFonts w:ascii="Arial" w:hAnsi="Arial"/>
          <w:sz w:val="22"/>
          <w:szCs w:val="22"/>
        </w:rPr>
        <w:t>, but are not limited to</w:t>
      </w:r>
      <w:r>
        <w:rPr>
          <w:rFonts w:ascii="Arial" w:hAnsi="Arial"/>
          <w:sz w:val="22"/>
          <w:szCs w:val="22"/>
        </w:rPr>
        <w:t>:</w:t>
      </w:r>
    </w:p>
    <w:p w14:paraId="59E98EB4" w14:textId="7D3FEE1C" w:rsidR="00206612" w:rsidRDefault="00206612" w:rsidP="00DF4F05">
      <w:pPr>
        <w:pStyle w:val="ListParagraph"/>
        <w:numPr>
          <w:ilvl w:val="0"/>
          <w:numId w:val="10"/>
        </w:numPr>
        <w:spacing w:before="200"/>
        <w:rPr>
          <w:rFonts w:ascii="Arial" w:hAnsi="Arial"/>
          <w:sz w:val="22"/>
          <w:szCs w:val="22"/>
        </w:rPr>
      </w:pPr>
      <w:r>
        <w:rPr>
          <w:rFonts w:ascii="Arial" w:hAnsi="Arial"/>
          <w:sz w:val="22"/>
          <w:szCs w:val="22"/>
        </w:rPr>
        <w:t xml:space="preserve">Whether the information includes personal, </w:t>
      </w:r>
      <w:r w:rsidR="005E15D2">
        <w:rPr>
          <w:rFonts w:ascii="Arial" w:hAnsi="Arial"/>
          <w:sz w:val="22"/>
          <w:szCs w:val="22"/>
        </w:rPr>
        <w:t>commercial, or confidential information, or information of third parties.</w:t>
      </w:r>
    </w:p>
    <w:p w14:paraId="595C8EF2" w14:textId="4E8903E3" w:rsidR="00206612" w:rsidRDefault="005E15D2" w:rsidP="00DF4F05">
      <w:pPr>
        <w:pStyle w:val="ListParagraph"/>
        <w:numPr>
          <w:ilvl w:val="0"/>
          <w:numId w:val="10"/>
        </w:numPr>
        <w:spacing w:before="200"/>
        <w:rPr>
          <w:rFonts w:ascii="Arial" w:hAnsi="Arial"/>
          <w:sz w:val="22"/>
          <w:szCs w:val="22"/>
        </w:rPr>
      </w:pPr>
      <w:r>
        <w:rPr>
          <w:rFonts w:ascii="Arial" w:hAnsi="Arial"/>
          <w:sz w:val="22"/>
          <w:szCs w:val="22"/>
        </w:rPr>
        <w:t>Whether the information may be subject to copyright or ownership issues.</w:t>
      </w:r>
    </w:p>
    <w:p w14:paraId="0AC8A5B0" w14:textId="79670915" w:rsidR="005E15D2" w:rsidRDefault="005E15D2" w:rsidP="00DF4F05">
      <w:pPr>
        <w:pStyle w:val="ListParagraph"/>
        <w:numPr>
          <w:ilvl w:val="0"/>
          <w:numId w:val="10"/>
        </w:numPr>
        <w:spacing w:before="200"/>
        <w:rPr>
          <w:rFonts w:ascii="Arial" w:hAnsi="Arial"/>
          <w:sz w:val="22"/>
          <w:szCs w:val="22"/>
        </w:rPr>
      </w:pPr>
      <w:r>
        <w:rPr>
          <w:rFonts w:ascii="Arial" w:hAnsi="Arial"/>
          <w:sz w:val="22"/>
          <w:szCs w:val="22"/>
        </w:rPr>
        <w:t>Whether the information is part of an ongoing investigation, or legal action.</w:t>
      </w:r>
    </w:p>
    <w:p w14:paraId="418E3ACD" w14:textId="0846A589" w:rsidR="00206612" w:rsidRPr="00206612" w:rsidRDefault="00206612" w:rsidP="00971882">
      <w:pPr>
        <w:spacing w:before="200"/>
        <w:rPr>
          <w:rFonts w:ascii="Arial" w:hAnsi="Arial"/>
          <w:sz w:val="22"/>
          <w:szCs w:val="22"/>
        </w:rPr>
      </w:pPr>
      <w:r>
        <w:rPr>
          <w:rFonts w:ascii="Arial" w:hAnsi="Arial"/>
          <w:sz w:val="22"/>
          <w:szCs w:val="22"/>
        </w:rPr>
        <w:t xml:space="preserve">If </w:t>
      </w:r>
      <w:r w:rsidR="001912E5">
        <w:rPr>
          <w:rFonts w:ascii="Arial" w:hAnsi="Arial"/>
          <w:sz w:val="22"/>
          <w:szCs w:val="22"/>
        </w:rPr>
        <w:t xml:space="preserve">Departmental officers are </w:t>
      </w:r>
      <w:r>
        <w:rPr>
          <w:rFonts w:ascii="Arial" w:hAnsi="Arial"/>
          <w:sz w:val="22"/>
          <w:szCs w:val="22"/>
        </w:rPr>
        <w:t xml:space="preserve">in doubt about whether information should be disclosed, </w:t>
      </w:r>
      <w:r w:rsidR="001912E5">
        <w:rPr>
          <w:rFonts w:ascii="Arial" w:hAnsi="Arial"/>
          <w:sz w:val="22"/>
          <w:szCs w:val="22"/>
        </w:rPr>
        <w:t xml:space="preserve">they must </w:t>
      </w:r>
      <w:r>
        <w:rPr>
          <w:rFonts w:ascii="Arial" w:hAnsi="Arial"/>
          <w:sz w:val="22"/>
          <w:szCs w:val="22"/>
        </w:rPr>
        <w:t>seek advice from the Executive Officer (Right to Information), or Director Secretariat and Legal Services.</w:t>
      </w:r>
    </w:p>
    <w:p w14:paraId="55C04C9C" w14:textId="1685795D" w:rsidR="00971882" w:rsidRDefault="005E15D2" w:rsidP="00433F8C">
      <w:pPr>
        <w:spacing w:before="200"/>
        <w:rPr>
          <w:rFonts w:ascii="Arial" w:hAnsi="Arial"/>
          <w:sz w:val="22"/>
          <w:szCs w:val="22"/>
        </w:rPr>
      </w:pPr>
      <w:r>
        <w:rPr>
          <w:rFonts w:ascii="Arial" w:hAnsi="Arial"/>
          <w:sz w:val="22"/>
          <w:szCs w:val="22"/>
        </w:rPr>
        <w:t>If a decision is made to refuse to actively disclose information, the Departmental officer responding to the request should direct the person to the Right to Information section of the Department’s website, or to the Execuctive Officer (Right to Information), for information about making an application for assessed disclosure.</w:t>
      </w:r>
    </w:p>
    <w:p w14:paraId="3565AACD" w14:textId="2C0756C8" w:rsidR="008C14BF" w:rsidRPr="00971882" w:rsidRDefault="008C14BF" w:rsidP="00DF4F05">
      <w:pPr>
        <w:pStyle w:val="ListParagraph"/>
        <w:numPr>
          <w:ilvl w:val="0"/>
          <w:numId w:val="4"/>
        </w:numPr>
        <w:spacing w:before="200"/>
        <w:rPr>
          <w:rFonts w:ascii="Arial" w:hAnsi="Arial"/>
          <w:b/>
          <w:sz w:val="22"/>
          <w:szCs w:val="22"/>
        </w:rPr>
      </w:pPr>
      <w:r>
        <w:rPr>
          <w:rFonts w:ascii="Arial" w:hAnsi="Arial"/>
          <w:b/>
          <w:sz w:val="22"/>
          <w:szCs w:val="22"/>
        </w:rPr>
        <w:t>Assessed</w:t>
      </w:r>
      <w:r w:rsidRPr="00971882">
        <w:rPr>
          <w:rFonts w:ascii="Arial" w:hAnsi="Arial"/>
          <w:b/>
          <w:sz w:val="22"/>
          <w:szCs w:val="22"/>
        </w:rPr>
        <w:t xml:space="preserve"> disclosure</w:t>
      </w:r>
    </w:p>
    <w:p w14:paraId="185652D1" w14:textId="0255DE75" w:rsidR="008C14BF" w:rsidRDefault="008C14BF" w:rsidP="008C14BF">
      <w:pPr>
        <w:spacing w:before="200"/>
        <w:rPr>
          <w:rFonts w:ascii="Arial" w:hAnsi="Arial"/>
          <w:sz w:val="22"/>
          <w:szCs w:val="22"/>
        </w:rPr>
      </w:pPr>
      <w:r>
        <w:rPr>
          <w:rFonts w:ascii="Arial" w:hAnsi="Arial"/>
          <w:sz w:val="22"/>
          <w:szCs w:val="22"/>
        </w:rPr>
        <w:t xml:space="preserve">Assessed disclosure is the form of disclosure </w:t>
      </w:r>
      <w:r w:rsidR="00F8622D">
        <w:rPr>
          <w:rFonts w:ascii="Arial" w:hAnsi="Arial"/>
          <w:sz w:val="22"/>
          <w:szCs w:val="22"/>
        </w:rPr>
        <w:t>after all other avenues have been explored</w:t>
      </w:r>
      <w:r>
        <w:rPr>
          <w:rFonts w:ascii="Arial" w:hAnsi="Arial"/>
          <w:sz w:val="22"/>
          <w:szCs w:val="22"/>
        </w:rPr>
        <w:t>.</w:t>
      </w:r>
    </w:p>
    <w:p w14:paraId="3099063B" w14:textId="4A0CE8C0" w:rsidR="008C14BF" w:rsidRDefault="008C14BF" w:rsidP="008C14BF">
      <w:pPr>
        <w:spacing w:before="200"/>
        <w:rPr>
          <w:rFonts w:ascii="Arial" w:hAnsi="Arial"/>
          <w:sz w:val="22"/>
          <w:szCs w:val="22"/>
        </w:rPr>
      </w:pPr>
      <w:r>
        <w:rPr>
          <w:rFonts w:ascii="Arial" w:hAnsi="Arial"/>
          <w:sz w:val="22"/>
          <w:szCs w:val="22"/>
        </w:rPr>
        <w:t>A person making a request for assessed disclosure must make the application in writing.  The Department’s application form and information about making an application are available on the Department’s website.</w:t>
      </w:r>
    </w:p>
    <w:p w14:paraId="0D13C22D" w14:textId="63E03CE7" w:rsidR="008C14BF" w:rsidRDefault="008C14BF" w:rsidP="008C14BF">
      <w:pPr>
        <w:spacing w:before="200"/>
        <w:rPr>
          <w:rFonts w:ascii="Arial" w:hAnsi="Arial"/>
          <w:sz w:val="22"/>
          <w:szCs w:val="22"/>
        </w:rPr>
      </w:pPr>
      <w:r>
        <w:rPr>
          <w:rFonts w:ascii="Arial" w:hAnsi="Arial"/>
          <w:sz w:val="22"/>
          <w:szCs w:val="22"/>
        </w:rPr>
        <w:t>Decisions regarding assessed disclosure must be made in accordance with the provisions of the RTI Act.  The Principal Officer or delegate are responsible for such decisions.</w:t>
      </w:r>
    </w:p>
    <w:p w14:paraId="4F9FB43A" w14:textId="5E2EFB6C" w:rsidR="00610624" w:rsidRPr="008C14BF" w:rsidRDefault="00C71CDA" w:rsidP="001912E5">
      <w:pPr>
        <w:spacing w:before="200"/>
        <w:rPr>
          <w:rFonts w:ascii="Arial" w:hAnsi="Arial"/>
          <w:sz w:val="22"/>
          <w:szCs w:val="22"/>
        </w:rPr>
      </w:pPr>
      <w:r>
        <w:rPr>
          <w:rFonts w:ascii="Arial" w:hAnsi="Arial"/>
          <w:sz w:val="22"/>
          <w:szCs w:val="22"/>
        </w:rPr>
        <w:t xml:space="preserve">The Department may decide to publish information that has been provided to an applicant in response to a request for assessed disclosure.  </w:t>
      </w:r>
      <w:r w:rsidR="00610624">
        <w:rPr>
          <w:rFonts w:ascii="Arial" w:hAnsi="Arial"/>
          <w:sz w:val="22"/>
          <w:szCs w:val="22"/>
        </w:rPr>
        <w:t xml:space="preserve">Decisions to publish will be made on public interest grounds, and to support the Department’s commitment to make information available to a broad audience.  </w:t>
      </w:r>
      <w:r w:rsidR="00492D06">
        <w:rPr>
          <w:rFonts w:ascii="Arial" w:hAnsi="Arial"/>
          <w:sz w:val="22"/>
          <w:szCs w:val="22"/>
        </w:rPr>
        <w:t xml:space="preserve">Where it is decided to publish, information will be made available on the Department’s website within two working days of the information being disclosed to the applicant.  </w:t>
      </w:r>
      <w:r w:rsidR="00610624">
        <w:rPr>
          <w:rFonts w:ascii="Arial" w:hAnsi="Arial"/>
          <w:sz w:val="22"/>
          <w:szCs w:val="22"/>
        </w:rPr>
        <w:t>Assessed disclosure decisions and associated statements of reasons, personal information, and commercially sensitive information will not be published.</w:t>
      </w:r>
      <w:bookmarkEnd w:id="31"/>
      <w:bookmarkEnd w:id="32"/>
      <w:bookmarkEnd w:id="33"/>
    </w:p>
    <w:sectPr w:rsidR="00610624" w:rsidRPr="008C14BF" w:rsidSect="0093007D">
      <w:footerReference w:type="default" r:id="rId11"/>
      <w:headerReference w:type="first" r:id="rId12"/>
      <w:footerReference w:type="first" r:id="rId13"/>
      <w:pgSz w:w="11906" w:h="16838"/>
      <w:pgMar w:top="1304" w:right="1474" w:bottom="1304" w:left="1474" w:header="624"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5CD09" w14:textId="77777777" w:rsidR="00504080" w:rsidRDefault="00504080" w:rsidP="00114C9E">
      <w:r>
        <w:separator/>
      </w:r>
    </w:p>
    <w:p w14:paraId="49A7C4C2" w14:textId="77777777" w:rsidR="00504080" w:rsidRDefault="00504080" w:rsidP="00114C9E"/>
    <w:p w14:paraId="4434354C" w14:textId="77777777" w:rsidR="00504080" w:rsidRDefault="00504080" w:rsidP="00114C9E"/>
  </w:endnote>
  <w:endnote w:type="continuationSeparator" w:id="0">
    <w:p w14:paraId="2D108ADC" w14:textId="77777777" w:rsidR="00504080" w:rsidRDefault="00504080" w:rsidP="00114C9E">
      <w:r>
        <w:continuationSeparator/>
      </w:r>
    </w:p>
    <w:p w14:paraId="6EABDDF4" w14:textId="77777777" w:rsidR="00504080" w:rsidRDefault="00504080" w:rsidP="00114C9E"/>
    <w:p w14:paraId="526ED725" w14:textId="77777777" w:rsidR="00504080" w:rsidRDefault="00504080" w:rsidP="00114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9496" w14:textId="5604A19E" w:rsidR="00B326B3" w:rsidRPr="000C5FBC" w:rsidRDefault="008B2A7B" w:rsidP="002E571B">
    <w:pPr>
      <w:pStyle w:val="Footer"/>
      <w:pBdr>
        <w:top w:val="single" w:sz="4" w:space="1" w:color="auto"/>
      </w:pBdr>
      <w:jc w:val="left"/>
      <w:rPr>
        <w:i/>
        <w:sz w:val="20"/>
      </w:rPr>
    </w:pPr>
    <w:r>
      <w:rPr>
        <w:i/>
        <w:sz w:val="20"/>
      </w:rPr>
      <w:t>Information Disclosure Policy</w:t>
    </w:r>
    <w:r w:rsidR="00B326B3" w:rsidRPr="000C5FBC">
      <w:rPr>
        <w:i/>
        <w:sz w:val="20"/>
      </w:rPr>
      <w:tab/>
    </w:r>
    <w:r w:rsidR="00B326B3" w:rsidRPr="000C5FBC">
      <w:rPr>
        <w:i/>
        <w:sz w:val="20"/>
      </w:rPr>
      <w:tab/>
    </w:r>
    <w:sdt>
      <w:sdtPr>
        <w:rPr>
          <w:i/>
          <w:sz w:val="20"/>
        </w:rPr>
        <w:id w:val="174843943"/>
        <w:docPartObj>
          <w:docPartGallery w:val="Page Numbers (Bottom of Page)"/>
          <w:docPartUnique/>
        </w:docPartObj>
      </w:sdtPr>
      <w:sdtEndPr>
        <w:rPr>
          <w:noProof/>
        </w:rPr>
      </w:sdtEndPr>
      <w:sdtContent>
        <w:r w:rsidR="00B326B3" w:rsidRPr="000C5FBC">
          <w:rPr>
            <w:i/>
            <w:sz w:val="20"/>
          </w:rPr>
          <w:fldChar w:fldCharType="begin"/>
        </w:r>
        <w:r w:rsidR="00B326B3" w:rsidRPr="000C5FBC">
          <w:rPr>
            <w:i/>
            <w:sz w:val="20"/>
          </w:rPr>
          <w:instrText xml:space="preserve"> PAGE   \* MERGEFORMAT </w:instrText>
        </w:r>
        <w:r w:rsidR="00B326B3" w:rsidRPr="000C5FBC">
          <w:rPr>
            <w:i/>
            <w:sz w:val="20"/>
          </w:rPr>
          <w:fldChar w:fldCharType="separate"/>
        </w:r>
        <w:r w:rsidR="00216028">
          <w:rPr>
            <w:i/>
            <w:noProof/>
            <w:sz w:val="20"/>
          </w:rPr>
          <w:t>4</w:t>
        </w:r>
        <w:r w:rsidR="00B326B3" w:rsidRPr="000C5FBC">
          <w:rPr>
            <w:i/>
            <w:noProof/>
            <w:sz w:val="20"/>
          </w:rPr>
          <w:fldChar w:fldCharType="end"/>
        </w:r>
      </w:sdtContent>
    </w:sdt>
  </w:p>
  <w:p w14:paraId="401B693E" w14:textId="77777777" w:rsidR="00B326B3" w:rsidRDefault="00B326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BF7DE" w14:textId="13DDD08D" w:rsidR="00B326B3" w:rsidRPr="000C5FBC" w:rsidRDefault="008B2A7B" w:rsidP="001A3661">
    <w:pPr>
      <w:pStyle w:val="Footer"/>
      <w:pBdr>
        <w:top w:val="single" w:sz="4" w:space="1" w:color="auto"/>
      </w:pBdr>
      <w:jc w:val="left"/>
      <w:rPr>
        <w:i/>
        <w:sz w:val="20"/>
      </w:rPr>
    </w:pPr>
    <w:r>
      <w:rPr>
        <w:i/>
        <w:sz w:val="20"/>
      </w:rPr>
      <w:t>Information Disclosure Policy</w:t>
    </w:r>
    <w:r w:rsidR="00B326B3" w:rsidRPr="000C5FBC">
      <w:rPr>
        <w:i/>
        <w:sz w:val="20"/>
      </w:rPr>
      <w:tab/>
    </w:r>
    <w:r w:rsidR="00B326B3" w:rsidRPr="000C5FBC">
      <w:rPr>
        <w:i/>
        <w:sz w:val="20"/>
      </w:rPr>
      <w:tab/>
    </w:r>
    <w:sdt>
      <w:sdtPr>
        <w:rPr>
          <w:i/>
          <w:sz w:val="20"/>
        </w:rPr>
        <w:id w:val="1778827063"/>
        <w:docPartObj>
          <w:docPartGallery w:val="Page Numbers (Bottom of Page)"/>
          <w:docPartUnique/>
        </w:docPartObj>
      </w:sdtPr>
      <w:sdtEndPr>
        <w:rPr>
          <w:noProof/>
        </w:rPr>
      </w:sdtEndPr>
      <w:sdtContent>
        <w:r w:rsidR="00B326B3" w:rsidRPr="000C5FBC">
          <w:rPr>
            <w:i/>
            <w:sz w:val="20"/>
          </w:rPr>
          <w:fldChar w:fldCharType="begin"/>
        </w:r>
        <w:r w:rsidR="00B326B3" w:rsidRPr="000C5FBC">
          <w:rPr>
            <w:i/>
            <w:sz w:val="20"/>
          </w:rPr>
          <w:instrText xml:space="preserve"> PAGE   \* MERGEFORMAT </w:instrText>
        </w:r>
        <w:r w:rsidR="00B326B3" w:rsidRPr="000C5FBC">
          <w:rPr>
            <w:i/>
            <w:sz w:val="20"/>
          </w:rPr>
          <w:fldChar w:fldCharType="separate"/>
        </w:r>
        <w:r w:rsidR="00216028">
          <w:rPr>
            <w:i/>
            <w:noProof/>
            <w:sz w:val="20"/>
          </w:rPr>
          <w:t>1</w:t>
        </w:r>
        <w:r w:rsidR="00B326B3" w:rsidRPr="000C5FBC">
          <w:rPr>
            <w:i/>
            <w:noProof/>
            <w:sz w:val="20"/>
          </w:rPr>
          <w:fldChar w:fldCharType="end"/>
        </w:r>
      </w:sdtContent>
    </w:sdt>
  </w:p>
  <w:p w14:paraId="485BF7DF" w14:textId="77777777" w:rsidR="00B326B3" w:rsidRDefault="00B326B3" w:rsidP="00114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24815" w14:textId="77777777" w:rsidR="00504080" w:rsidRDefault="00504080" w:rsidP="00114C9E">
      <w:r>
        <w:separator/>
      </w:r>
    </w:p>
  </w:footnote>
  <w:footnote w:type="continuationSeparator" w:id="0">
    <w:p w14:paraId="7CF4D719" w14:textId="77777777" w:rsidR="00504080" w:rsidRDefault="00504080" w:rsidP="00114C9E">
      <w:r>
        <w:continuationSeparator/>
      </w:r>
    </w:p>
    <w:p w14:paraId="57ECDB1C" w14:textId="77777777" w:rsidR="00504080" w:rsidRDefault="00504080" w:rsidP="00114C9E"/>
    <w:p w14:paraId="349E92EB" w14:textId="77777777" w:rsidR="00504080" w:rsidRDefault="00504080" w:rsidP="00114C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BF7DD" w14:textId="38624F5D" w:rsidR="00B326B3" w:rsidRPr="001E69DB" w:rsidRDefault="00B326B3" w:rsidP="00514871">
    <w:pPr>
      <w:pStyle w:val="IntenseQuote"/>
      <w:ind w:left="0" w:right="27"/>
    </w:pPr>
    <w:r w:rsidRPr="00D71E94">
      <w:rPr>
        <w:sz w:val="28"/>
        <w:szCs w:val="28"/>
      </w:rPr>
      <w:t>Department of State Growth</w:t>
    </w:r>
    <w:r>
      <w:tab/>
    </w:r>
    <w:r>
      <w:tab/>
    </w:r>
    <w:r>
      <w:tab/>
    </w:r>
    <w:r>
      <w:tab/>
    </w:r>
    <w:r>
      <w:tab/>
    </w:r>
    <w:r>
      <w:tab/>
      <w:t xml:space="preserve">    </w:t>
    </w:r>
    <w:r>
      <w:rPr>
        <w:noProof/>
        <w:lang w:val="en-AU" w:eastAsia="en-AU" w:bidi="ar-SA"/>
      </w:rPr>
      <w:drawing>
        <wp:inline distT="0" distB="0" distL="0" distR="0" wp14:anchorId="485BF7E0" wp14:editId="485BF7E1">
          <wp:extent cx="786174"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613" cy="73565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A35E5"/>
    <w:multiLevelType w:val="hybridMultilevel"/>
    <w:tmpl w:val="1ED4F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AE2C86"/>
    <w:multiLevelType w:val="hybridMultilevel"/>
    <w:tmpl w:val="B5A89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B97E77"/>
    <w:multiLevelType w:val="hybridMultilevel"/>
    <w:tmpl w:val="D11EF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64D2A17"/>
    <w:multiLevelType w:val="hybridMultilevel"/>
    <w:tmpl w:val="80DC03D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6DC260F"/>
    <w:multiLevelType w:val="hybridMultilevel"/>
    <w:tmpl w:val="9F1ED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582CF6"/>
    <w:multiLevelType w:val="hybridMultilevel"/>
    <w:tmpl w:val="CFE053A2"/>
    <w:lvl w:ilvl="0" w:tplc="C5C6DFD8">
      <w:start w:val="4"/>
      <w:numFmt w:val="bullet"/>
      <w:pStyle w:val="Dotpoint"/>
      <w:lvlText w:val="-"/>
      <w:lvlJc w:val="left"/>
      <w:pPr>
        <w:ind w:left="786" w:hanging="360"/>
      </w:pPr>
      <w:rPr>
        <w:rFonts w:ascii="Gill Sans MT" w:eastAsia="Times New Roman" w:hAnsi="Gill Sans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E43DB3"/>
    <w:multiLevelType w:val="hybridMultilevel"/>
    <w:tmpl w:val="8B02540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812F79"/>
    <w:multiLevelType w:val="multilevel"/>
    <w:tmpl w:val="749CF2D0"/>
    <w:lvl w:ilvl="0">
      <w:start w:val="1"/>
      <w:numFmt w:val="decimal"/>
      <w:lvlText w:val="%1."/>
      <w:lvlJc w:val="left"/>
      <w:pPr>
        <w:ind w:left="360" w:hanging="360"/>
      </w:pPr>
    </w:lvl>
    <w:lvl w:ilvl="1">
      <w:start w:val="1"/>
      <w:numFmt w:val="decimal"/>
      <w:pStyle w:val="Numberedinden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076C67"/>
    <w:multiLevelType w:val="hybridMultilevel"/>
    <w:tmpl w:val="128CE6B0"/>
    <w:lvl w:ilvl="0" w:tplc="C90E9348">
      <w:start w:val="1"/>
      <w:numFmt w:val="decimal"/>
      <w:pStyle w:val="Numbered"/>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053AC"/>
    <w:multiLevelType w:val="hybridMultilevel"/>
    <w:tmpl w:val="E2067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4786439"/>
    <w:multiLevelType w:val="hybridMultilevel"/>
    <w:tmpl w:val="541C1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66020C7"/>
    <w:multiLevelType w:val="hybridMultilevel"/>
    <w:tmpl w:val="49247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0"/>
  </w:num>
  <w:num w:numId="6">
    <w:abstractNumId w:val="11"/>
  </w:num>
  <w:num w:numId="7">
    <w:abstractNumId w:val="9"/>
  </w:num>
  <w:num w:numId="8">
    <w:abstractNumId w:val="10"/>
  </w:num>
  <w:num w:numId="9">
    <w:abstractNumId w:val="2"/>
  </w:num>
  <w:num w:numId="10">
    <w:abstractNumId w:val="1"/>
  </w:num>
  <w:num w:numId="11">
    <w:abstractNumId w:val="6"/>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26"/>
    <w:rsid w:val="00030F46"/>
    <w:rsid w:val="00046937"/>
    <w:rsid w:val="00047909"/>
    <w:rsid w:val="00090B55"/>
    <w:rsid w:val="000A6DD6"/>
    <w:rsid w:val="000C2ED9"/>
    <w:rsid w:val="000C5FBC"/>
    <w:rsid w:val="000D022C"/>
    <w:rsid w:val="00114C9E"/>
    <w:rsid w:val="001153DA"/>
    <w:rsid w:val="00117AEB"/>
    <w:rsid w:val="00131A96"/>
    <w:rsid w:val="00133FF9"/>
    <w:rsid w:val="0014684A"/>
    <w:rsid w:val="00180D7D"/>
    <w:rsid w:val="001912E5"/>
    <w:rsid w:val="001A1DC2"/>
    <w:rsid w:val="001A3661"/>
    <w:rsid w:val="001B53BC"/>
    <w:rsid w:val="001D0AF4"/>
    <w:rsid w:val="001E69DB"/>
    <w:rsid w:val="001F79BC"/>
    <w:rsid w:val="00206612"/>
    <w:rsid w:val="00216028"/>
    <w:rsid w:val="002178C2"/>
    <w:rsid w:val="00224831"/>
    <w:rsid w:val="0025089F"/>
    <w:rsid w:val="00250ECB"/>
    <w:rsid w:val="002521A7"/>
    <w:rsid w:val="00257FE3"/>
    <w:rsid w:val="0027774B"/>
    <w:rsid w:val="00284E57"/>
    <w:rsid w:val="002913CB"/>
    <w:rsid w:val="00294776"/>
    <w:rsid w:val="002A5870"/>
    <w:rsid w:val="002B72DB"/>
    <w:rsid w:val="002C1D1A"/>
    <w:rsid w:val="002E3DE0"/>
    <w:rsid w:val="002E571B"/>
    <w:rsid w:val="002E7903"/>
    <w:rsid w:val="002F6EDD"/>
    <w:rsid w:val="003108CD"/>
    <w:rsid w:val="00343738"/>
    <w:rsid w:val="00343E7A"/>
    <w:rsid w:val="00355DB2"/>
    <w:rsid w:val="00357C9A"/>
    <w:rsid w:val="00360C90"/>
    <w:rsid w:val="00382AB8"/>
    <w:rsid w:val="00391E22"/>
    <w:rsid w:val="003965F2"/>
    <w:rsid w:val="003B73CD"/>
    <w:rsid w:val="003F3D59"/>
    <w:rsid w:val="00416F66"/>
    <w:rsid w:val="00420CC5"/>
    <w:rsid w:val="004256F7"/>
    <w:rsid w:val="00433A4E"/>
    <w:rsid w:val="00433F8C"/>
    <w:rsid w:val="00437A26"/>
    <w:rsid w:val="004418A7"/>
    <w:rsid w:val="00442DFD"/>
    <w:rsid w:val="00454B22"/>
    <w:rsid w:val="0046071D"/>
    <w:rsid w:val="00461EF2"/>
    <w:rsid w:val="00466E01"/>
    <w:rsid w:val="004832D4"/>
    <w:rsid w:val="00486814"/>
    <w:rsid w:val="00491E4D"/>
    <w:rsid w:val="0049299C"/>
    <w:rsid w:val="00492D06"/>
    <w:rsid w:val="004933DF"/>
    <w:rsid w:val="00497FB1"/>
    <w:rsid w:val="004A521F"/>
    <w:rsid w:val="004B2443"/>
    <w:rsid w:val="004B40AF"/>
    <w:rsid w:val="004C24C7"/>
    <w:rsid w:val="004D3CA7"/>
    <w:rsid w:val="004E078B"/>
    <w:rsid w:val="004E5D59"/>
    <w:rsid w:val="00504080"/>
    <w:rsid w:val="00514871"/>
    <w:rsid w:val="00535FB6"/>
    <w:rsid w:val="00576047"/>
    <w:rsid w:val="00583E0F"/>
    <w:rsid w:val="0059124C"/>
    <w:rsid w:val="005A66D8"/>
    <w:rsid w:val="005C181B"/>
    <w:rsid w:val="005D1AEA"/>
    <w:rsid w:val="005E15D2"/>
    <w:rsid w:val="005F4122"/>
    <w:rsid w:val="00602D7A"/>
    <w:rsid w:val="00610624"/>
    <w:rsid w:val="00622CC3"/>
    <w:rsid w:val="0065593A"/>
    <w:rsid w:val="006650CA"/>
    <w:rsid w:val="0067163D"/>
    <w:rsid w:val="00674CB0"/>
    <w:rsid w:val="00692959"/>
    <w:rsid w:val="006A0FBE"/>
    <w:rsid w:val="006A225E"/>
    <w:rsid w:val="006A4C73"/>
    <w:rsid w:val="006B7BA2"/>
    <w:rsid w:val="006C2E95"/>
    <w:rsid w:val="006D3F13"/>
    <w:rsid w:val="006F6B9D"/>
    <w:rsid w:val="00700D21"/>
    <w:rsid w:val="00716DD6"/>
    <w:rsid w:val="00717B68"/>
    <w:rsid w:val="00750DF0"/>
    <w:rsid w:val="00757B59"/>
    <w:rsid w:val="007B0954"/>
    <w:rsid w:val="007B54D1"/>
    <w:rsid w:val="007D38DF"/>
    <w:rsid w:val="007E1EFD"/>
    <w:rsid w:val="007E464A"/>
    <w:rsid w:val="007E692A"/>
    <w:rsid w:val="007F2A22"/>
    <w:rsid w:val="00805FDB"/>
    <w:rsid w:val="00810B94"/>
    <w:rsid w:val="00815F75"/>
    <w:rsid w:val="008168A5"/>
    <w:rsid w:val="008356D8"/>
    <w:rsid w:val="008548C6"/>
    <w:rsid w:val="00864245"/>
    <w:rsid w:val="00882BA7"/>
    <w:rsid w:val="00891E05"/>
    <w:rsid w:val="00897C5B"/>
    <w:rsid w:val="008A7C85"/>
    <w:rsid w:val="008B2A7B"/>
    <w:rsid w:val="008C14BF"/>
    <w:rsid w:val="008C667A"/>
    <w:rsid w:val="008D46D2"/>
    <w:rsid w:val="008D6221"/>
    <w:rsid w:val="008E5529"/>
    <w:rsid w:val="008F29CB"/>
    <w:rsid w:val="00900B00"/>
    <w:rsid w:val="00907B53"/>
    <w:rsid w:val="009113A3"/>
    <w:rsid w:val="00911E3F"/>
    <w:rsid w:val="00926377"/>
    <w:rsid w:val="00927E6F"/>
    <w:rsid w:val="0093007D"/>
    <w:rsid w:val="00945B7C"/>
    <w:rsid w:val="00957B95"/>
    <w:rsid w:val="0096139C"/>
    <w:rsid w:val="00971882"/>
    <w:rsid w:val="00991A2E"/>
    <w:rsid w:val="009A18EF"/>
    <w:rsid w:val="009A549C"/>
    <w:rsid w:val="009A6B96"/>
    <w:rsid w:val="009B6CCE"/>
    <w:rsid w:val="009D6ED9"/>
    <w:rsid w:val="009F7F3C"/>
    <w:rsid w:val="00A06633"/>
    <w:rsid w:val="00A22CEB"/>
    <w:rsid w:val="00A33193"/>
    <w:rsid w:val="00A835F3"/>
    <w:rsid w:val="00A836DB"/>
    <w:rsid w:val="00A83CA6"/>
    <w:rsid w:val="00A91D44"/>
    <w:rsid w:val="00AA15B8"/>
    <w:rsid w:val="00AA2416"/>
    <w:rsid w:val="00AC29B0"/>
    <w:rsid w:val="00AD72B8"/>
    <w:rsid w:val="00AE1E44"/>
    <w:rsid w:val="00AE3668"/>
    <w:rsid w:val="00B2167C"/>
    <w:rsid w:val="00B326B3"/>
    <w:rsid w:val="00B43F09"/>
    <w:rsid w:val="00B5691A"/>
    <w:rsid w:val="00B759FA"/>
    <w:rsid w:val="00B86366"/>
    <w:rsid w:val="00B922EC"/>
    <w:rsid w:val="00B92AD0"/>
    <w:rsid w:val="00BA354B"/>
    <w:rsid w:val="00BA790E"/>
    <w:rsid w:val="00BC6982"/>
    <w:rsid w:val="00BF43E3"/>
    <w:rsid w:val="00C0214E"/>
    <w:rsid w:val="00C03745"/>
    <w:rsid w:val="00C043F9"/>
    <w:rsid w:val="00C07B6C"/>
    <w:rsid w:val="00C11B83"/>
    <w:rsid w:val="00C24933"/>
    <w:rsid w:val="00C27378"/>
    <w:rsid w:val="00C27B41"/>
    <w:rsid w:val="00C27E3E"/>
    <w:rsid w:val="00C31489"/>
    <w:rsid w:val="00C3326F"/>
    <w:rsid w:val="00C56936"/>
    <w:rsid w:val="00C67483"/>
    <w:rsid w:val="00C71CDA"/>
    <w:rsid w:val="00C777DD"/>
    <w:rsid w:val="00C8688B"/>
    <w:rsid w:val="00CB7B1C"/>
    <w:rsid w:val="00CC4CC8"/>
    <w:rsid w:val="00CC55C3"/>
    <w:rsid w:val="00CF07FA"/>
    <w:rsid w:val="00D115B6"/>
    <w:rsid w:val="00D33087"/>
    <w:rsid w:val="00D41555"/>
    <w:rsid w:val="00D467EC"/>
    <w:rsid w:val="00D64CC0"/>
    <w:rsid w:val="00D71E94"/>
    <w:rsid w:val="00D72EB3"/>
    <w:rsid w:val="00D734C8"/>
    <w:rsid w:val="00D863C6"/>
    <w:rsid w:val="00DD5D33"/>
    <w:rsid w:val="00DF4F05"/>
    <w:rsid w:val="00E04169"/>
    <w:rsid w:val="00E370E3"/>
    <w:rsid w:val="00E632CA"/>
    <w:rsid w:val="00E82557"/>
    <w:rsid w:val="00E83140"/>
    <w:rsid w:val="00E94280"/>
    <w:rsid w:val="00E9637E"/>
    <w:rsid w:val="00EC56BB"/>
    <w:rsid w:val="00ED46F2"/>
    <w:rsid w:val="00EF0C1E"/>
    <w:rsid w:val="00F07665"/>
    <w:rsid w:val="00F207CB"/>
    <w:rsid w:val="00F2365B"/>
    <w:rsid w:val="00F8622D"/>
    <w:rsid w:val="00FA3D9A"/>
    <w:rsid w:val="00FB4381"/>
    <w:rsid w:val="00FB6275"/>
    <w:rsid w:val="00FC6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5BF79C"/>
  <w15:docId w15:val="{6E81F3C8-E9BD-4895-9CE5-60C593E7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C9E"/>
    <w:pPr>
      <w:spacing w:before="120"/>
    </w:pPr>
    <w:rPr>
      <w:rFonts w:ascii="Gill Sans MT" w:hAnsi="Gill Sans MT" w:cs="Arial"/>
      <w:sz w:val="24"/>
      <w:lang w:eastAsia="en-US"/>
    </w:rPr>
  </w:style>
  <w:style w:type="paragraph" w:styleId="Heading1">
    <w:name w:val="heading 1"/>
    <w:basedOn w:val="Normal"/>
    <w:next w:val="Normal"/>
    <w:qFormat/>
    <w:rsid w:val="00CF07FA"/>
    <w:pPr>
      <w:keepNext/>
      <w:pBdr>
        <w:bottom w:val="single" w:sz="4" w:space="1" w:color="auto"/>
      </w:pBdr>
      <w:shd w:val="clear" w:color="auto" w:fill="DBE5F1" w:themeFill="accent1" w:themeFillTint="33"/>
      <w:spacing w:before="360"/>
      <w:outlineLvl w:val="0"/>
    </w:pPr>
    <w:rPr>
      <w:b/>
      <w:bCs/>
      <w:color w:val="0070C0"/>
      <w:kern w:val="32"/>
      <w:sz w:val="32"/>
      <w:szCs w:val="32"/>
    </w:rPr>
  </w:style>
  <w:style w:type="paragraph" w:styleId="Heading2">
    <w:name w:val="heading 2"/>
    <w:basedOn w:val="Normal"/>
    <w:next w:val="Normal"/>
    <w:qFormat/>
    <w:rsid w:val="001E69DB"/>
    <w:pPr>
      <w:keepNext/>
      <w:spacing w:before="240" w:after="60"/>
      <w:outlineLvl w:val="1"/>
    </w:pPr>
    <w:rPr>
      <w:b/>
      <w:color w:val="0070C0"/>
      <w:sz w:val="28"/>
    </w:rPr>
  </w:style>
  <w:style w:type="paragraph" w:styleId="Heading3">
    <w:name w:val="heading 3"/>
    <w:basedOn w:val="Normal"/>
    <w:next w:val="Normal"/>
    <w:qFormat/>
    <w:rsid w:val="007E692A"/>
    <w:pPr>
      <w:keepNext/>
      <w:spacing w:before="240" w:after="60"/>
      <w:outlineLvl w:val="2"/>
    </w:pPr>
    <w:rPr>
      <w:b/>
      <w:bCs/>
      <w:sz w:val="26"/>
      <w:szCs w:val="26"/>
    </w:rPr>
  </w:style>
  <w:style w:type="paragraph" w:styleId="Heading4">
    <w:name w:val="heading 4"/>
    <w:basedOn w:val="Normal"/>
    <w:next w:val="Normal"/>
    <w:autoRedefine/>
    <w:qFormat/>
    <w:rsid w:val="00A836DB"/>
    <w:pPr>
      <w:keepNext/>
      <w:spacing w:before="240" w:after="60"/>
      <w:jc w:val="both"/>
      <w:outlineLvl w:val="3"/>
    </w:pPr>
    <w:rPr>
      <w:b/>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53DA"/>
    <w:pPr>
      <w:tabs>
        <w:tab w:val="center" w:pos="4320"/>
        <w:tab w:val="right" w:pos="8640"/>
      </w:tabs>
    </w:pPr>
    <w:rPr>
      <w:sz w:val="20"/>
    </w:rPr>
  </w:style>
  <w:style w:type="paragraph" w:styleId="Footer">
    <w:name w:val="footer"/>
    <w:basedOn w:val="Normal"/>
    <w:link w:val="FooterChar"/>
    <w:uiPriority w:val="99"/>
    <w:rsid w:val="001153DA"/>
    <w:pPr>
      <w:tabs>
        <w:tab w:val="center" w:pos="4320"/>
        <w:tab w:val="right" w:pos="8640"/>
      </w:tabs>
      <w:jc w:val="right"/>
    </w:pPr>
    <w:rPr>
      <w:color w:val="000080"/>
      <w:sz w:val="16"/>
    </w:rPr>
  </w:style>
  <w:style w:type="character" w:styleId="PageNumber">
    <w:name w:val="page number"/>
    <w:basedOn w:val="DefaultParagraphFont"/>
    <w:rsid w:val="001153DA"/>
  </w:style>
  <w:style w:type="paragraph" w:styleId="TOC1">
    <w:name w:val="toc 1"/>
    <w:basedOn w:val="Normal"/>
    <w:next w:val="Normal"/>
    <w:autoRedefine/>
    <w:uiPriority w:val="39"/>
    <w:rsid w:val="00CC4CC8"/>
    <w:pPr>
      <w:tabs>
        <w:tab w:val="right" w:leader="dot" w:pos="7088"/>
      </w:tabs>
      <w:ind w:right="1870"/>
    </w:pPr>
    <w:rPr>
      <w:b/>
      <w:smallCaps/>
      <w:sz w:val="20"/>
    </w:rPr>
  </w:style>
  <w:style w:type="paragraph" w:styleId="TOC2">
    <w:name w:val="toc 2"/>
    <w:basedOn w:val="Normal"/>
    <w:next w:val="Normal"/>
    <w:autoRedefine/>
    <w:uiPriority w:val="39"/>
    <w:rsid w:val="00294776"/>
    <w:pPr>
      <w:tabs>
        <w:tab w:val="left" w:pos="734"/>
        <w:tab w:val="right" w:leader="dot" w:pos="7088"/>
      </w:tabs>
      <w:ind w:left="709"/>
    </w:pPr>
    <w:rPr>
      <w:noProof/>
      <w:sz w:val="20"/>
    </w:rPr>
  </w:style>
  <w:style w:type="character" w:styleId="Hyperlink">
    <w:name w:val="Hyperlink"/>
    <w:basedOn w:val="DefaultParagraphFont"/>
    <w:uiPriority w:val="99"/>
    <w:rsid w:val="001153DA"/>
    <w:rPr>
      <w:color w:val="0000FF"/>
      <w:u w:val="none"/>
    </w:rPr>
  </w:style>
  <w:style w:type="paragraph" w:customStyle="1" w:styleId="TableNormal1">
    <w:name w:val="Table Normal1"/>
    <w:basedOn w:val="Header"/>
    <w:rsid w:val="001153DA"/>
    <w:pPr>
      <w:tabs>
        <w:tab w:val="clear" w:pos="4320"/>
        <w:tab w:val="clear" w:pos="8640"/>
      </w:tabs>
    </w:pPr>
  </w:style>
  <w:style w:type="paragraph" w:customStyle="1" w:styleId="Tabletext">
    <w:name w:val="Table text"/>
    <w:basedOn w:val="Normal"/>
    <w:rsid w:val="001153DA"/>
    <w:pPr>
      <w:spacing w:before="144"/>
    </w:pPr>
    <w:rPr>
      <w:sz w:val="20"/>
      <w:lang w:eastAsia="en-AU"/>
    </w:rPr>
  </w:style>
  <w:style w:type="paragraph" w:customStyle="1" w:styleId="StyleHeading1Arial">
    <w:name w:val="Style Heading 1 + Arial"/>
    <w:basedOn w:val="Heading1"/>
    <w:rsid w:val="006B7BA2"/>
    <w:rPr>
      <w:rFonts w:cs="Times New Roman"/>
      <w:color w:val="333333"/>
      <w:kern w:val="28"/>
    </w:rPr>
  </w:style>
  <w:style w:type="paragraph" w:styleId="BalloonText">
    <w:name w:val="Balloon Text"/>
    <w:basedOn w:val="Normal"/>
    <w:link w:val="BalloonTextChar"/>
    <w:uiPriority w:val="99"/>
    <w:semiHidden/>
    <w:unhideWhenUsed/>
    <w:rsid w:val="005D1AEA"/>
    <w:rPr>
      <w:rFonts w:ascii="Tahoma" w:hAnsi="Tahoma" w:cs="Tahoma"/>
      <w:sz w:val="16"/>
      <w:szCs w:val="16"/>
    </w:rPr>
  </w:style>
  <w:style w:type="character" w:customStyle="1" w:styleId="BalloonTextChar">
    <w:name w:val="Balloon Text Char"/>
    <w:basedOn w:val="DefaultParagraphFont"/>
    <w:link w:val="BalloonText"/>
    <w:uiPriority w:val="99"/>
    <w:semiHidden/>
    <w:rsid w:val="005D1AEA"/>
    <w:rPr>
      <w:rFonts w:ascii="Tahoma" w:hAnsi="Tahoma" w:cs="Tahoma"/>
      <w:sz w:val="16"/>
      <w:szCs w:val="16"/>
      <w:lang w:eastAsia="en-US"/>
    </w:rPr>
  </w:style>
  <w:style w:type="paragraph" w:styleId="IntenseQuote">
    <w:name w:val="Intense Quote"/>
    <w:basedOn w:val="Normal"/>
    <w:next w:val="Normal"/>
    <w:link w:val="IntenseQuoteChar"/>
    <w:uiPriority w:val="30"/>
    <w:qFormat/>
    <w:rsid w:val="005D1AEA"/>
    <w:pPr>
      <w:pBdr>
        <w:bottom w:val="single" w:sz="4" w:space="4" w:color="4F81BD"/>
      </w:pBdr>
      <w:ind w:left="936" w:right="936"/>
    </w:pPr>
    <w:rPr>
      <w:bCs/>
      <w:i/>
      <w:iCs/>
      <w:color w:val="4F81BD"/>
      <w:sz w:val="20"/>
      <w:szCs w:val="22"/>
      <w:lang w:val="en-US" w:bidi="en-US"/>
    </w:rPr>
  </w:style>
  <w:style w:type="character" w:customStyle="1" w:styleId="IntenseQuoteChar">
    <w:name w:val="Intense Quote Char"/>
    <w:basedOn w:val="DefaultParagraphFont"/>
    <w:link w:val="IntenseQuote"/>
    <w:uiPriority w:val="30"/>
    <w:rsid w:val="005D1AEA"/>
    <w:rPr>
      <w:rFonts w:ascii="Gill Sans MT" w:hAnsi="Gill Sans MT"/>
      <w:bCs/>
      <w:i/>
      <w:iCs/>
      <w:color w:val="4F81BD"/>
      <w:szCs w:val="22"/>
      <w:lang w:val="en-US" w:eastAsia="en-US" w:bidi="en-US"/>
    </w:rPr>
  </w:style>
  <w:style w:type="paragraph" w:styleId="Title">
    <w:name w:val="Title"/>
    <w:basedOn w:val="Normal"/>
    <w:next w:val="Normal"/>
    <w:link w:val="TitleChar"/>
    <w:uiPriority w:val="10"/>
    <w:qFormat/>
    <w:rsid w:val="001E69DB"/>
    <w:pPr>
      <w:pBdr>
        <w:bottom w:val="single" w:sz="8" w:space="4" w:color="4F81BD" w:themeColor="accent1"/>
      </w:pBdr>
      <w:spacing w:before="0" w:after="300"/>
      <w:contextualSpacing/>
      <w:jc w:val="center"/>
    </w:pPr>
    <w:rPr>
      <w:rFonts w:eastAsiaTheme="majorEastAsia" w:cstheme="majorBidi"/>
      <w:color w:val="0070C0"/>
      <w:spacing w:val="5"/>
      <w:kern w:val="28"/>
      <w:sz w:val="52"/>
      <w:szCs w:val="52"/>
    </w:rPr>
  </w:style>
  <w:style w:type="character" w:customStyle="1" w:styleId="TitleChar">
    <w:name w:val="Title Char"/>
    <w:basedOn w:val="DefaultParagraphFont"/>
    <w:link w:val="Title"/>
    <w:uiPriority w:val="10"/>
    <w:rsid w:val="001E69DB"/>
    <w:rPr>
      <w:rFonts w:ascii="Gill Sans MT" w:eastAsiaTheme="majorEastAsia" w:hAnsi="Gill Sans MT" w:cstheme="majorBidi"/>
      <w:color w:val="0070C0"/>
      <w:spacing w:val="5"/>
      <w:kern w:val="28"/>
      <w:sz w:val="52"/>
      <w:szCs w:val="52"/>
      <w:lang w:eastAsia="en-US"/>
    </w:rPr>
  </w:style>
  <w:style w:type="paragraph" w:styleId="Subtitle">
    <w:name w:val="Subtitle"/>
    <w:basedOn w:val="Normal"/>
    <w:next w:val="Normal"/>
    <w:link w:val="SubtitleChar"/>
    <w:uiPriority w:val="11"/>
    <w:qFormat/>
    <w:rsid w:val="006B7BA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B7BA2"/>
    <w:rPr>
      <w:rFonts w:asciiTheme="majorHAnsi" w:eastAsiaTheme="majorEastAsia" w:hAnsiTheme="majorHAnsi" w:cstheme="majorBidi"/>
      <w:i/>
      <w:iCs/>
      <w:color w:val="4F81BD" w:themeColor="accent1"/>
      <w:spacing w:val="15"/>
      <w:sz w:val="24"/>
      <w:szCs w:val="24"/>
      <w:lang w:eastAsia="en-US"/>
    </w:rPr>
  </w:style>
  <w:style w:type="paragraph" w:styleId="ListParagraph">
    <w:name w:val="List Paragraph"/>
    <w:basedOn w:val="Normal"/>
    <w:link w:val="ListParagraphChar"/>
    <w:uiPriority w:val="34"/>
    <w:qFormat/>
    <w:rsid w:val="009A549C"/>
    <w:pPr>
      <w:ind w:left="720"/>
      <w:contextualSpacing/>
    </w:pPr>
  </w:style>
  <w:style w:type="paragraph" w:customStyle="1" w:styleId="Dotpoint">
    <w:name w:val="Dot point"/>
    <w:basedOn w:val="Normal"/>
    <w:link w:val="DotpointChar"/>
    <w:qFormat/>
    <w:rsid w:val="00D33087"/>
    <w:pPr>
      <w:numPr>
        <w:numId w:val="1"/>
      </w:numPr>
      <w:tabs>
        <w:tab w:val="left" w:pos="1418"/>
      </w:tabs>
      <w:spacing w:after="120" w:line="276" w:lineRule="auto"/>
      <w:ind w:left="1418" w:right="424" w:hanging="567"/>
    </w:pPr>
    <w:rPr>
      <w:rFonts w:cs="Times New Roman"/>
      <w:szCs w:val="24"/>
      <w:lang w:val="en-US" w:bidi="en-US"/>
    </w:rPr>
  </w:style>
  <w:style w:type="character" w:customStyle="1" w:styleId="DotpointChar">
    <w:name w:val="Dot point Char"/>
    <w:link w:val="Dotpoint"/>
    <w:rsid w:val="00D33087"/>
    <w:rPr>
      <w:rFonts w:ascii="Gill Sans MT" w:hAnsi="Gill Sans MT"/>
      <w:sz w:val="24"/>
      <w:szCs w:val="24"/>
      <w:lang w:val="en-US" w:eastAsia="en-US" w:bidi="en-US"/>
    </w:rPr>
  </w:style>
  <w:style w:type="paragraph" w:styleId="FootnoteText">
    <w:name w:val="footnote text"/>
    <w:basedOn w:val="Normal"/>
    <w:link w:val="FootnoteTextChar"/>
    <w:uiPriority w:val="99"/>
    <w:unhideWhenUsed/>
    <w:rsid w:val="006650CA"/>
    <w:pPr>
      <w:spacing w:before="0"/>
    </w:pPr>
    <w:rPr>
      <w:sz w:val="20"/>
    </w:rPr>
  </w:style>
  <w:style w:type="character" w:customStyle="1" w:styleId="FootnoteTextChar">
    <w:name w:val="Footnote Text Char"/>
    <w:basedOn w:val="DefaultParagraphFont"/>
    <w:link w:val="FootnoteText"/>
    <w:uiPriority w:val="99"/>
    <w:rsid w:val="006650CA"/>
    <w:rPr>
      <w:rFonts w:ascii="Gill Sans MT" w:hAnsi="Gill Sans MT" w:cs="Arial"/>
      <w:lang w:eastAsia="en-US"/>
    </w:rPr>
  </w:style>
  <w:style w:type="character" w:styleId="FootnoteReference">
    <w:name w:val="footnote reference"/>
    <w:basedOn w:val="DefaultParagraphFont"/>
    <w:uiPriority w:val="99"/>
    <w:semiHidden/>
    <w:unhideWhenUsed/>
    <w:rsid w:val="006650CA"/>
    <w:rPr>
      <w:vertAlign w:val="superscript"/>
    </w:rPr>
  </w:style>
  <w:style w:type="paragraph" w:styleId="TOCHeading">
    <w:name w:val="TOC Heading"/>
    <w:basedOn w:val="Heading1"/>
    <w:next w:val="Normal"/>
    <w:uiPriority w:val="39"/>
    <w:semiHidden/>
    <w:unhideWhenUsed/>
    <w:qFormat/>
    <w:rsid w:val="008C667A"/>
    <w:pPr>
      <w:keepLines/>
      <w:pBdr>
        <w:bottom w:val="none" w:sz="0" w:space="0" w:color="auto"/>
      </w:pBdr>
      <w:shd w:val="clear" w:color="auto" w:fill="auto"/>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IntenseEmphasis">
    <w:name w:val="Intense Emphasis"/>
    <w:basedOn w:val="DefaultParagraphFont"/>
    <w:uiPriority w:val="21"/>
    <w:qFormat/>
    <w:rsid w:val="00114C9E"/>
    <w:rPr>
      <w:b/>
      <w:bCs/>
      <w:i/>
      <w:iCs/>
      <w:color w:val="4F81BD" w:themeColor="accent1"/>
    </w:rPr>
  </w:style>
  <w:style w:type="character" w:styleId="SubtleEmphasis">
    <w:name w:val="Subtle Emphasis"/>
    <w:basedOn w:val="DefaultParagraphFont"/>
    <w:uiPriority w:val="19"/>
    <w:qFormat/>
    <w:rsid w:val="00114C9E"/>
    <w:rPr>
      <w:i/>
      <w:iCs/>
      <w:color w:val="808080" w:themeColor="text1" w:themeTint="7F"/>
    </w:rPr>
  </w:style>
  <w:style w:type="character" w:styleId="Emphasis">
    <w:name w:val="Emphasis"/>
    <w:basedOn w:val="DefaultParagraphFont"/>
    <w:uiPriority w:val="20"/>
    <w:qFormat/>
    <w:rsid w:val="00114C9E"/>
    <w:rPr>
      <w:i/>
      <w:iCs/>
    </w:rPr>
  </w:style>
  <w:style w:type="paragraph" w:customStyle="1" w:styleId="Footnote">
    <w:name w:val="Footnote"/>
    <w:basedOn w:val="FootnoteText"/>
    <w:link w:val="FootnoteChar"/>
    <w:autoRedefine/>
    <w:qFormat/>
    <w:rsid w:val="00750DF0"/>
    <w:pPr>
      <w:ind w:left="567" w:hanging="567"/>
    </w:pPr>
  </w:style>
  <w:style w:type="paragraph" w:styleId="EndnoteText">
    <w:name w:val="endnote text"/>
    <w:basedOn w:val="Normal"/>
    <w:link w:val="EndnoteTextChar"/>
    <w:uiPriority w:val="99"/>
    <w:semiHidden/>
    <w:unhideWhenUsed/>
    <w:rsid w:val="00750DF0"/>
    <w:pPr>
      <w:spacing w:before="0"/>
    </w:pPr>
    <w:rPr>
      <w:sz w:val="20"/>
    </w:rPr>
  </w:style>
  <w:style w:type="character" w:customStyle="1" w:styleId="FootnoteChar">
    <w:name w:val="Footnote Char"/>
    <w:basedOn w:val="FootnoteTextChar"/>
    <w:link w:val="Footnote"/>
    <w:rsid w:val="00750DF0"/>
    <w:rPr>
      <w:rFonts w:ascii="Gill Sans MT" w:hAnsi="Gill Sans MT" w:cs="Arial"/>
      <w:lang w:eastAsia="en-US"/>
    </w:rPr>
  </w:style>
  <w:style w:type="character" w:customStyle="1" w:styleId="EndnoteTextChar">
    <w:name w:val="Endnote Text Char"/>
    <w:basedOn w:val="DefaultParagraphFont"/>
    <w:link w:val="EndnoteText"/>
    <w:uiPriority w:val="99"/>
    <w:semiHidden/>
    <w:rsid w:val="00750DF0"/>
    <w:rPr>
      <w:rFonts w:ascii="Gill Sans MT" w:hAnsi="Gill Sans MT" w:cs="Arial"/>
      <w:lang w:eastAsia="en-US"/>
    </w:rPr>
  </w:style>
  <w:style w:type="character" w:styleId="EndnoteReference">
    <w:name w:val="endnote reference"/>
    <w:basedOn w:val="DefaultParagraphFont"/>
    <w:uiPriority w:val="99"/>
    <w:semiHidden/>
    <w:unhideWhenUsed/>
    <w:rsid w:val="00750DF0"/>
    <w:rPr>
      <w:vertAlign w:val="superscript"/>
    </w:rPr>
  </w:style>
  <w:style w:type="character" w:styleId="SubtleReference">
    <w:name w:val="Subtle Reference"/>
    <w:basedOn w:val="DefaultParagraphFont"/>
    <w:uiPriority w:val="31"/>
    <w:qFormat/>
    <w:rsid w:val="0014684A"/>
    <w:rPr>
      <w:smallCaps/>
      <w:color w:val="C0504D" w:themeColor="accent2"/>
      <w:u w:val="single"/>
    </w:rPr>
  </w:style>
  <w:style w:type="character" w:styleId="FollowedHyperlink">
    <w:name w:val="FollowedHyperlink"/>
    <w:basedOn w:val="DefaultParagraphFont"/>
    <w:uiPriority w:val="99"/>
    <w:semiHidden/>
    <w:unhideWhenUsed/>
    <w:rsid w:val="00420CC5"/>
    <w:rPr>
      <w:color w:val="800080" w:themeColor="followedHyperlink"/>
      <w:u w:val="single"/>
    </w:rPr>
  </w:style>
  <w:style w:type="character" w:customStyle="1" w:styleId="FooterChar">
    <w:name w:val="Footer Char"/>
    <w:basedOn w:val="DefaultParagraphFont"/>
    <w:link w:val="Footer"/>
    <w:uiPriority w:val="99"/>
    <w:rsid w:val="0093007D"/>
    <w:rPr>
      <w:rFonts w:ascii="Gill Sans MT" w:hAnsi="Gill Sans MT" w:cs="Arial"/>
      <w:color w:val="000080"/>
      <w:sz w:val="16"/>
      <w:lang w:eastAsia="en-US"/>
    </w:rPr>
  </w:style>
  <w:style w:type="paragraph" w:customStyle="1" w:styleId="Numbered">
    <w:name w:val="Numbered"/>
    <w:basedOn w:val="ListParagraph"/>
    <w:link w:val="NumberedChar"/>
    <w:qFormat/>
    <w:rsid w:val="00AD72B8"/>
    <w:pPr>
      <w:numPr>
        <w:numId w:val="3"/>
      </w:numPr>
      <w:contextualSpacing w:val="0"/>
    </w:pPr>
  </w:style>
  <w:style w:type="paragraph" w:customStyle="1" w:styleId="Numberedindent">
    <w:name w:val="Numbered indent"/>
    <w:basedOn w:val="Numbered"/>
    <w:link w:val="NumberedindentChar"/>
    <w:qFormat/>
    <w:rsid w:val="004832D4"/>
    <w:pPr>
      <w:numPr>
        <w:ilvl w:val="1"/>
        <w:numId w:val="2"/>
      </w:numPr>
      <w:ind w:left="1418" w:hanging="709"/>
    </w:pPr>
  </w:style>
  <w:style w:type="character" w:customStyle="1" w:styleId="ListParagraphChar">
    <w:name w:val="List Paragraph Char"/>
    <w:basedOn w:val="DefaultParagraphFont"/>
    <w:link w:val="ListParagraph"/>
    <w:uiPriority w:val="34"/>
    <w:rsid w:val="00AD72B8"/>
    <w:rPr>
      <w:rFonts w:ascii="Gill Sans MT" w:hAnsi="Gill Sans MT" w:cs="Arial"/>
      <w:sz w:val="24"/>
      <w:lang w:eastAsia="en-US"/>
    </w:rPr>
  </w:style>
  <w:style w:type="character" w:customStyle="1" w:styleId="NumberedChar">
    <w:name w:val="Numbered Char"/>
    <w:basedOn w:val="ListParagraphChar"/>
    <w:link w:val="Numbered"/>
    <w:rsid w:val="00AD72B8"/>
    <w:rPr>
      <w:rFonts w:ascii="Gill Sans MT" w:hAnsi="Gill Sans MT" w:cs="Arial"/>
      <w:sz w:val="24"/>
      <w:lang w:eastAsia="en-US"/>
    </w:rPr>
  </w:style>
  <w:style w:type="table" w:styleId="TableGrid">
    <w:name w:val="Table Grid"/>
    <w:basedOn w:val="TableNormal"/>
    <w:uiPriority w:val="59"/>
    <w:rsid w:val="00FB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indentChar">
    <w:name w:val="Numbered indent Char"/>
    <w:basedOn w:val="NumberedChar"/>
    <w:link w:val="Numberedindent"/>
    <w:rsid w:val="004832D4"/>
    <w:rPr>
      <w:rFonts w:ascii="Gill Sans MT" w:hAnsi="Gill Sans MT" w:cs="Arial"/>
      <w:sz w:val="24"/>
      <w:lang w:eastAsia="en-US"/>
    </w:rPr>
  </w:style>
  <w:style w:type="character" w:styleId="CommentReference">
    <w:name w:val="annotation reference"/>
    <w:basedOn w:val="DefaultParagraphFont"/>
    <w:uiPriority w:val="99"/>
    <w:semiHidden/>
    <w:unhideWhenUsed/>
    <w:rsid w:val="00C31489"/>
    <w:rPr>
      <w:sz w:val="16"/>
      <w:szCs w:val="16"/>
    </w:rPr>
  </w:style>
  <w:style w:type="paragraph" w:styleId="CommentText">
    <w:name w:val="annotation text"/>
    <w:basedOn w:val="Normal"/>
    <w:link w:val="CommentTextChar"/>
    <w:uiPriority w:val="99"/>
    <w:semiHidden/>
    <w:unhideWhenUsed/>
    <w:rsid w:val="00C31489"/>
    <w:rPr>
      <w:sz w:val="20"/>
    </w:rPr>
  </w:style>
  <w:style w:type="character" w:customStyle="1" w:styleId="CommentTextChar">
    <w:name w:val="Comment Text Char"/>
    <w:basedOn w:val="DefaultParagraphFont"/>
    <w:link w:val="CommentText"/>
    <w:uiPriority w:val="99"/>
    <w:semiHidden/>
    <w:rsid w:val="00C31489"/>
    <w:rPr>
      <w:rFonts w:ascii="Gill Sans MT" w:hAnsi="Gill Sans MT" w:cs="Arial"/>
      <w:lang w:eastAsia="en-US"/>
    </w:rPr>
  </w:style>
  <w:style w:type="paragraph" w:styleId="CommentSubject">
    <w:name w:val="annotation subject"/>
    <w:basedOn w:val="CommentText"/>
    <w:next w:val="CommentText"/>
    <w:link w:val="CommentSubjectChar"/>
    <w:uiPriority w:val="99"/>
    <w:semiHidden/>
    <w:unhideWhenUsed/>
    <w:rsid w:val="00C31489"/>
    <w:rPr>
      <w:b/>
      <w:bCs/>
    </w:rPr>
  </w:style>
  <w:style w:type="character" w:customStyle="1" w:styleId="CommentSubjectChar">
    <w:name w:val="Comment Subject Char"/>
    <w:basedOn w:val="CommentTextChar"/>
    <w:link w:val="CommentSubject"/>
    <w:uiPriority w:val="99"/>
    <w:semiHidden/>
    <w:rsid w:val="00C31489"/>
    <w:rPr>
      <w:rFonts w:ascii="Gill Sans MT" w:hAnsi="Gill Sans MT" w:cs="Arial"/>
      <w:b/>
      <w:bCs/>
      <w:lang w:eastAsia="en-US"/>
    </w:rPr>
  </w:style>
  <w:style w:type="character" w:customStyle="1" w:styleId="MinuteParagraphChar">
    <w:name w:val="Minute Paragraph Char"/>
    <w:basedOn w:val="DefaultParagraphFont"/>
    <w:link w:val="MinuteParagraph"/>
    <w:locked/>
    <w:rsid w:val="00355DB2"/>
    <w:rPr>
      <w:rFonts w:ascii="Gill Sans MT" w:hAnsi="Gill Sans MT"/>
      <w:sz w:val="24"/>
      <w:szCs w:val="24"/>
    </w:rPr>
  </w:style>
  <w:style w:type="paragraph" w:customStyle="1" w:styleId="MinuteParagraph">
    <w:name w:val="Minute Paragraph"/>
    <w:basedOn w:val="Normal"/>
    <w:link w:val="MinuteParagraphChar"/>
    <w:qFormat/>
    <w:rsid w:val="00355DB2"/>
    <w:pPr>
      <w:spacing w:before="240"/>
      <w:jc w:val="both"/>
    </w:pPr>
    <w:rPr>
      <w:rFonts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6253">
      <w:bodyDiv w:val="1"/>
      <w:marLeft w:val="0"/>
      <w:marRight w:val="0"/>
      <w:marTop w:val="0"/>
      <w:marBottom w:val="0"/>
      <w:divBdr>
        <w:top w:val="none" w:sz="0" w:space="0" w:color="auto"/>
        <w:left w:val="none" w:sz="0" w:space="0" w:color="auto"/>
        <w:bottom w:val="none" w:sz="0" w:space="0" w:color="auto"/>
        <w:right w:val="none" w:sz="0" w:space="0" w:color="auto"/>
      </w:divBdr>
    </w:div>
    <w:div w:id="11810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oke\Documents\Draf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7DE297BCF7E149A4B82BD2397B9C14" ma:contentTypeVersion="0" ma:contentTypeDescription="Create a new document." ma:contentTypeScope="" ma:versionID="f8b4b7994f72b8ce22e96ac8d0c8708d">
  <xsd:schema xmlns:xsd="http://www.w3.org/2001/XMLSchema" xmlns:p="http://schemas.microsoft.com/office/2006/metadata/properties" targetNamespace="http://schemas.microsoft.com/office/2006/metadata/properties" ma:root="true" ma:fieldsID="c1debeace8cf312c1db8843e3fc188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Organisation/Company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7456C-1F73-4D3E-9EC4-84CDCADCFB73}">
  <ds:schemaRefs>
    <ds:schemaRef ds:uri="http://schemas.microsoft.com/office/2006/metadata/properties"/>
  </ds:schemaRefs>
</ds:datastoreItem>
</file>

<file path=customXml/itemProps2.xml><?xml version="1.0" encoding="utf-8"?>
<ds:datastoreItem xmlns:ds="http://schemas.openxmlformats.org/officeDocument/2006/customXml" ds:itemID="{18945434-1AD9-4C38-B919-721C0462AC05}">
  <ds:schemaRefs>
    <ds:schemaRef ds:uri="http://schemas.microsoft.com/sharepoint/v3/contenttype/forms"/>
  </ds:schemaRefs>
</ds:datastoreItem>
</file>

<file path=customXml/itemProps3.xml><?xml version="1.0" encoding="utf-8"?>
<ds:datastoreItem xmlns:ds="http://schemas.openxmlformats.org/officeDocument/2006/customXml" ds:itemID="{C17B976C-D616-481F-90CC-5C96C007E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098796-A928-45C2-A1F9-F3E87D83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Policy TEMPLATE</Template>
  <TotalTime>99</TotalTime>
  <Pages>4</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State Growth</vt:lpstr>
    </vt:vector>
  </TitlesOfParts>
  <Company>Dept. Economic Development</Company>
  <LinksUpToDate>false</LinksUpToDate>
  <CharactersWithSpaces>9077</CharactersWithSpaces>
  <SharedDoc>false</SharedDoc>
  <HLinks>
    <vt:vector size="90" baseType="variant">
      <vt:variant>
        <vt:i4>1048627</vt:i4>
      </vt:variant>
      <vt:variant>
        <vt:i4>86</vt:i4>
      </vt:variant>
      <vt:variant>
        <vt:i4>0</vt:i4>
      </vt:variant>
      <vt:variant>
        <vt:i4>5</vt:i4>
      </vt:variant>
      <vt:variant>
        <vt:lpwstr/>
      </vt:variant>
      <vt:variant>
        <vt:lpwstr>_Toc86033587</vt:lpwstr>
      </vt:variant>
      <vt:variant>
        <vt:i4>1114163</vt:i4>
      </vt:variant>
      <vt:variant>
        <vt:i4>80</vt:i4>
      </vt:variant>
      <vt:variant>
        <vt:i4>0</vt:i4>
      </vt:variant>
      <vt:variant>
        <vt:i4>5</vt:i4>
      </vt:variant>
      <vt:variant>
        <vt:lpwstr/>
      </vt:variant>
      <vt:variant>
        <vt:lpwstr>_Toc86033586</vt:lpwstr>
      </vt:variant>
      <vt:variant>
        <vt:i4>1179699</vt:i4>
      </vt:variant>
      <vt:variant>
        <vt:i4>74</vt:i4>
      </vt:variant>
      <vt:variant>
        <vt:i4>0</vt:i4>
      </vt:variant>
      <vt:variant>
        <vt:i4>5</vt:i4>
      </vt:variant>
      <vt:variant>
        <vt:lpwstr/>
      </vt:variant>
      <vt:variant>
        <vt:lpwstr>_Toc86033585</vt:lpwstr>
      </vt:variant>
      <vt:variant>
        <vt:i4>1245235</vt:i4>
      </vt:variant>
      <vt:variant>
        <vt:i4>68</vt:i4>
      </vt:variant>
      <vt:variant>
        <vt:i4>0</vt:i4>
      </vt:variant>
      <vt:variant>
        <vt:i4>5</vt:i4>
      </vt:variant>
      <vt:variant>
        <vt:lpwstr/>
      </vt:variant>
      <vt:variant>
        <vt:lpwstr>_Toc86033584</vt:lpwstr>
      </vt:variant>
      <vt:variant>
        <vt:i4>1310771</vt:i4>
      </vt:variant>
      <vt:variant>
        <vt:i4>62</vt:i4>
      </vt:variant>
      <vt:variant>
        <vt:i4>0</vt:i4>
      </vt:variant>
      <vt:variant>
        <vt:i4>5</vt:i4>
      </vt:variant>
      <vt:variant>
        <vt:lpwstr/>
      </vt:variant>
      <vt:variant>
        <vt:lpwstr>_Toc86033583</vt:lpwstr>
      </vt:variant>
      <vt:variant>
        <vt:i4>1376307</vt:i4>
      </vt:variant>
      <vt:variant>
        <vt:i4>56</vt:i4>
      </vt:variant>
      <vt:variant>
        <vt:i4>0</vt:i4>
      </vt:variant>
      <vt:variant>
        <vt:i4>5</vt:i4>
      </vt:variant>
      <vt:variant>
        <vt:lpwstr/>
      </vt:variant>
      <vt:variant>
        <vt:lpwstr>_Toc86033582</vt:lpwstr>
      </vt:variant>
      <vt:variant>
        <vt:i4>1441843</vt:i4>
      </vt:variant>
      <vt:variant>
        <vt:i4>50</vt:i4>
      </vt:variant>
      <vt:variant>
        <vt:i4>0</vt:i4>
      </vt:variant>
      <vt:variant>
        <vt:i4>5</vt:i4>
      </vt:variant>
      <vt:variant>
        <vt:lpwstr/>
      </vt:variant>
      <vt:variant>
        <vt:lpwstr>_Toc86033581</vt:lpwstr>
      </vt:variant>
      <vt:variant>
        <vt:i4>1507379</vt:i4>
      </vt:variant>
      <vt:variant>
        <vt:i4>44</vt:i4>
      </vt:variant>
      <vt:variant>
        <vt:i4>0</vt:i4>
      </vt:variant>
      <vt:variant>
        <vt:i4>5</vt:i4>
      </vt:variant>
      <vt:variant>
        <vt:lpwstr/>
      </vt:variant>
      <vt:variant>
        <vt:lpwstr>_Toc86033580</vt:lpwstr>
      </vt:variant>
      <vt:variant>
        <vt:i4>1966140</vt:i4>
      </vt:variant>
      <vt:variant>
        <vt:i4>38</vt:i4>
      </vt:variant>
      <vt:variant>
        <vt:i4>0</vt:i4>
      </vt:variant>
      <vt:variant>
        <vt:i4>5</vt:i4>
      </vt:variant>
      <vt:variant>
        <vt:lpwstr/>
      </vt:variant>
      <vt:variant>
        <vt:lpwstr>_Toc86033579</vt:lpwstr>
      </vt:variant>
      <vt:variant>
        <vt:i4>2031676</vt:i4>
      </vt:variant>
      <vt:variant>
        <vt:i4>32</vt:i4>
      </vt:variant>
      <vt:variant>
        <vt:i4>0</vt:i4>
      </vt:variant>
      <vt:variant>
        <vt:i4>5</vt:i4>
      </vt:variant>
      <vt:variant>
        <vt:lpwstr/>
      </vt:variant>
      <vt:variant>
        <vt:lpwstr>_Toc86033578</vt:lpwstr>
      </vt:variant>
      <vt:variant>
        <vt:i4>1048636</vt:i4>
      </vt:variant>
      <vt:variant>
        <vt:i4>26</vt:i4>
      </vt:variant>
      <vt:variant>
        <vt:i4>0</vt:i4>
      </vt:variant>
      <vt:variant>
        <vt:i4>5</vt:i4>
      </vt:variant>
      <vt:variant>
        <vt:lpwstr/>
      </vt:variant>
      <vt:variant>
        <vt:lpwstr>_Toc86033577</vt:lpwstr>
      </vt:variant>
      <vt:variant>
        <vt:i4>1114172</vt:i4>
      </vt:variant>
      <vt:variant>
        <vt:i4>20</vt:i4>
      </vt:variant>
      <vt:variant>
        <vt:i4>0</vt:i4>
      </vt:variant>
      <vt:variant>
        <vt:i4>5</vt:i4>
      </vt:variant>
      <vt:variant>
        <vt:lpwstr/>
      </vt:variant>
      <vt:variant>
        <vt:lpwstr>_Toc86033576</vt:lpwstr>
      </vt:variant>
      <vt:variant>
        <vt:i4>1179708</vt:i4>
      </vt:variant>
      <vt:variant>
        <vt:i4>14</vt:i4>
      </vt:variant>
      <vt:variant>
        <vt:i4>0</vt:i4>
      </vt:variant>
      <vt:variant>
        <vt:i4>5</vt:i4>
      </vt:variant>
      <vt:variant>
        <vt:lpwstr/>
      </vt:variant>
      <vt:variant>
        <vt:lpwstr>_Toc86033575</vt:lpwstr>
      </vt:variant>
      <vt:variant>
        <vt:i4>1245244</vt:i4>
      </vt:variant>
      <vt:variant>
        <vt:i4>8</vt:i4>
      </vt:variant>
      <vt:variant>
        <vt:i4>0</vt:i4>
      </vt:variant>
      <vt:variant>
        <vt:i4>5</vt:i4>
      </vt:variant>
      <vt:variant>
        <vt:lpwstr/>
      </vt:variant>
      <vt:variant>
        <vt:lpwstr>_Toc86033574</vt:lpwstr>
      </vt:variant>
      <vt:variant>
        <vt:i4>1310780</vt:i4>
      </vt:variant>
      <vt:variant>
        <vt:i4>2</vt:i4>
      </vt:variant>
      <vt:variant>
        <vt:i4>0</vt:i4>
      </vt:variant>
      <vt:variant>
        <vt:i4>5</vt:i4>
      </vt:variant>
      <vt:variant>
        <vt:lpwstr/>
      </vt:variant>
      <vt:variant>
        <vt:lpwstr>_Toc86033573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Growth</dc:title>
  <dc:creator>Cooke, Jacqui</dc:creator>
  <cp:lastModifiedBy>Tomkins, Inga</cp:lastModifiedBy>
  <cp:revision>11</cp:revision>
  <cp:lastPrinted>2016-03-16T22:39:00Z</cp:lastPrinted>
  <dcterms:created xsi:type="dcterms:W3CDTF">2016-01-05T05:36:00Z</dcterms:created>
  <dcterms:modified xsi:type="dcterms:W3CDTF">2016-04-26T03:57:00Z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0x010100327DE297BCF7E149A4B82BD2397B9C14</vt:lpwstr>
  </property>
</Properties>
</file>